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391C3B4A" w:rsidR="00FB6D71" w:rsidRDefault="004371D9" w:rsidP="00FB6D71">
      <w:pPr>
        <w:pStyle w:val="SOPTitlename"/>
      </w:pPr>
      <w:proofErr w:type="spellStart"/>
      <w:r>
        <w:t>Ulvac</w:t>
      </w:r>
      <w:proofErr w:type="spellEnd"/>
      <w:r>
        <w:t xml:space="preserve"> PHI </w:t>
      </w:r>
      <w:proofErr w:type="spellStart"/>
      <w:r>
        <w:t>Versaprobe</w:t>
      </w:r>
      <w:proofErr w:type="spellEnd"/>
      <w:r>
        <w:t xml:space="preserve"> II XPS</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4ECD2252" w:rsidR="00FB6D71" w:rsidRDefault="00D47502" w:rsidP="009348C0">
      <w:pPr>
        <w:jc w:val="center"/>
      </w:pPr>
      <w:r>
        <w:rPr>
          <w:noProof/>
        </w:rPr>
        <w:drawing>
          <wp:inline distT="0" distB="0" distL="0" distR="0" wp14:anchorId="3EA5CBF5" wp14:editId="6F5FFC5A">
            <wp:extent cx="5098123" cy="3983604"/>
            <wp:effectExtent l="0" t="0" r="7620" b="0"/>
            <wp:docPr id="720921221" name="Picture 6" descr="Photograph of the Versaprobe 2 XP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21221" name="Picture 6" descr="Photograph of the Versaprobe 2 XPS t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096" cy="3989053"/>
                    </a:xfrm>
                    <a:prstGeom prst="rect">
                      <a:avLst/>
                    </a:prstGeom>
                    <a:noFill/>
                    <a:ln>
                      <a:noFill/>
                    </a:ln>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149C0E3A" w14:textId="343BC9B6" w:rsidR="00FB6D71" w:rsidRPr="00CA62C1" w:rsidRDefault="004371D9" w:rsidP="00FB6D71">
      <w:pPr>
        <w:pStyle w:val="Text"/>
        <w:rPr>
          <w:rFonts w:ascii="Lexend" w:hAnsi="Lexend"/>
        </w:rPr>
      </w:pPr>
      <w:r w:rsidRPr="004371D9">
        <w:rPr>
          <w:rFonts w:ascii="Lexend" w:hAnsi="Lexend"/>
        </w:rPr>
        <w:t xml:space="preserve">The core technology of the </w:t>
      </w:r>
      <w:proofErr w:type="spellStart"/>
      <w:r w:rsidRPr="004371D9">
        <w:rPr>
          <w:rFonts w:ascii="Lexend" w:hAnsi="Lexend"/>
        </w:rPr>
        <w:t>VersaProbe</w:t>
      </w:r>
      <w:proofErr w:type="spellEnd"/>
      <w:r w:rsidRPr="004371D9">
        <w:rPr>
          <w:rFonts w:ascii="Lexend" w:hAnsi="Lexend"/>
        </w:rPr>
        <w:t xml:space="preserve"> II is PHI’s patented, monochromatic, micro-focused, scanning x-ray source which provides excellent large area and superior micro-area spectroscopy performance. Standard features include PHI’s patented dual beam charge neutralization technology, a floating column </w:t>
      </w:r>
      <w:proofErr w:type="spellStart"/>
      <w:r w:rsidRPr="004371D9">
        <w:rPr>
          <w:rFonts w:ascii="Lexend" w:hAnsi="Lexend"/>
        </w:rPr>
        <w:t>Ar</w:t>
      </w:r>
      <w:proofErr w:type="spellEnd"/>
      <w:r w:rsidRPr="004371D9">
        <w:rPr>
          <w:rFonts w:ascii="Lexend" w:hAnsi="Lexend"/>
        </w:rPr>
        <w:t xml:space="preserve"> ion gun for XPS sputter depth profiling, angle resolved XPS and a cold stage for temperature dependent studies.</w:t>
      </w:r>
    </w:p>
    <w:p w14:paraId="75BBBD1B" w14:textId="609AF4D5" w:rsidR="00FB6D71" w:rsidRDefault="00FB6D71" w:rsidP="008C4844">
      <w:pPr>
        <w:pStyle w:val="Subtitle"/>
        <w:spacing w:after="0" w:line="240" w:lineRule="auto"/>
      </w:pPr>
      <w:r>
        <w:t>NRF Contact</w:t>
      </w:r>
    </w:p>
    <w:p w14:paraId="6EEDD247" w14:textId="77777777" w:rsidR="008C4844" w:rsidRPr="008C4844" w:rsidRDefault="008C4844" w:rsidP="008C4844"/>
    <w:p w14:paraId="4DA559DF" w14:textId="6C0E6585" w:rsidR="00326EAF" w:rsidRPr="00326EAF" w:rsidRDefault="00FB6D71" w:rsidP="00C45D2C">
      <w:pPr>
        <w:pStyle w:val="Text"/>
        <w:rPr>
          <w:rFonts w:ascii="Lexend" w:hAnsi="Lexend"/>
        </w:rPr>
      </w:pPr>
      <w:r w:rsidRPr="00FB6D71">
        <w:rPr>
          <w:rFonts w:ascii="Lexend" w:hAnsi="Lexend"/>
        </w:rPr>
        <w:t>David Hays</w:t>
      </w:r>
      <w:r w:rsidR="00326EAF">
        <w:rPr>
          <w:rFonts w:ascii="Lexend" w:hAnsi="Lexend"/>
        </w:rPr>
        <w:br w:type="page"/>
      </w: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65026401" w14:textId="581CC086" w:rsidR="00E90E95"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1025474" w:history="1">
            <w:r w:rsidR="00E90E95" w:rsidRPr="007A35D9">
              <w:rPr>
                <w:rStyle w:val="Hyperlink"/>
                <w:noProof/>
              </w:rPr>
              <w:t>1.</w:t>
            </w:r>
            <w:r w:rsidR="00E90E95">
              <w:rPr>
                <w:rFonts w:asciiTheme="minorHAnsi" w:eastAsiaTheme="minorEastAsia" w:hAnsiTheme="minorHAnsi" w:cstheme="minorBidi"/>
                <w:b w:val="0"/>
                <w:noProof/>
                <w:kern w:val="2"/>
                <w:sz w:val="24"/>
                <w14:ligatures w14:val="standardContextual"/>
              </w:rPr>
              <w:tab/>
            </w:r>
            <w:r w:rsidR="00E90E95" w:rsidRPr="007A35D9">
              <w:rPr>
                <w:rStyle w:val="Hyperlink"/>
                <w:noProof/>
              </w:rPr>
              <w:t>Safety information</w:t>
            </w:r>
            <w:r w:rsidR="00E90E95">
              <w:rPr>
                <w:noProof/>
                <w:webHidden/>
              </w:rPr>
              <w:tab/>
            </w:r>
            <w:r w:rsidR="00E90E95">
              <w:rPr>
                <w:noProof/>
                <w:webHidden/>
              </w:rPr>
              <w:fldChar w:fldCharType="begin"/>
            </w:r>
            <w:r w:rsidR="00E90E95">
              <w:rPr>
                <w:noProof/>
                <w:webHidden/>
              </w:rPr>
              <w:instrText xml:space="preserve"> PAGEREF _Toc221025474 \h </w:instrText>
            </w:r>
            <w:r w:rsidR="00E90E95">
              <w:rPr>
                <w:noProof/>
                <w:webHidden/>
              </w:rPr>
            </w:r>
            <w:r w:rsidR="00E90E95">
              <w:rPr>
                <w:noProof/>
                <w:webHidden/>
              </w:rPr>
              <w:fldChar w:fldCharType="separate"/>
            </w:r>
            <w:r w:rsidR="00E90E95">
              <w:rPr>
                <w:noProof/>
                <w:webHidden/>
              </w:rPr>
              <w:t>3</w:t>
            </w:r>
            <w:r w:rsidR="00E90E95">
              <w:rPr>
                <w:noProof/>
                <w:webHidden/>
              </w:rPr>
              <w:fldChar w:fldCharType="end"/>
            </w:r>
          </w:hyperlink>
        </w:p>
        <w:p w14:paraId="27C370AD" w14:textId="12A89933" w:rsidR="00E90E95" w:rsidRDefault="00E90E9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25475" w:history="1">
            <w:r w:rsidRPr="007A35D9">
              <w:rPr>
                <w:rStyle w:val="Hyperlink"/>
                <w:noProof/>
              </w:rPr>
              <w:t>2.</w:t>
            </w:r>
            <w:r>
              <w:rPr>
                <w:rFonts w:asciiTheme="minorHAnsi" w:eastAsiaTheme="minorEastAsia" w:hAnsiTheme="minorHAnsi" w:cstheme="minorBidi"/>
                <w:b w:val="0"/>
                <w:noProof/>
                <w:kern w:val="2"/>
                <w:sz w:val="24"/>
                <w14:ligatures w14:val="standardContextual"/>
              </w:rPr>
              <w:tab/>
            </w:r>
            <w:r w:rsidRPr="007A35D9">
              <w:rPr>
                <w:rStyle w:val="Hyperlink"/>
                <w:noProof/>
              </w:rPr>
              <w:t>Prerequisites for use</w:t>
            </w:r>
            <w:r>
              <w:rPr>
                <w:noProof/>
                <w:webHidden/>
              </w:rPr>
              <w:tab/>
            </w:r>
            <w:r>
              <w:rPr>
                <w:noProof/>
                <w:webHidden/>
              </w:rPr>
              <w:fldChar w:fldCharType="begin"/>
            </w:r>
            <w:r>
              <w:rPr>
                <w:noProof/>
                <w:webHidden/>
              </w:rPr>
              <w:instrText xml:space="preserve"> PAGEREF _Toc221025475 \h </w:instrText>
            </w:r>
            <w:r>
              <w:rPr>
                <w:noProof/>
                <w:webHidden/>
              </w:rPr>
            </w:r>
            <w:r>
              <w:rPr>
                <w:noProof/>
                <w:webHidden/>
              </w:rPr>
              <w:fldChar w:fldCharType="separate"/>
            </w:r>
            <w:r>
              <w:rPr>
                <w:noProof/>
                <w:webHidden/>
              </w:rPr>
              <w:t>3</w:t>
            </w:r>
            <w:r>
              <w:rPr>
                <w:noProof/>
                <w:webHidden/>
              </w:rPr>
              <w:fldChar w:fldCharType="end"/>
            </w:r>
          </w:hyperlink>
        </w:p>
        <w:p w14:paraId="0FC66F6C" w14:textId="594FA313" w:rsidR="00E90E95" w:rsidRDefault="00E90E9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25476" w:history="1">
            <w:r w:rsidRPr="007A35D9">
              <w:rPr>
                <w:rStyle w:val="Hyperlink"/>
                <w:noProof/>
              </w:rPr>
              <w:t>3.</w:t>
            </w:r>
            <w:r>
              <w:rPr>
                <w:rFonts w:asciiTheme="minorHAnsi" w:eastAsiaTheme="minorEastAsia" w:hAnsiTheme="minorHAnsi" w:cstheme="minorBidi"/>
                <w:b w:val="0"/>
                <w:noProof/>
                <w:kern w:val="2"/>
                <w:sz w:val="24"/>
                <w14:ligatures w14:val="standardContextual"/>
              </w:rPr>
              <w:tab/>
            </w:r>
            <w:r w:rsidRPr="007A35D9">
              <w:rPr>
                <w:rStyle w:val="Hyperlink"/>
                <w:noProof/>
              </w:rPr>
              <w:t>Sample Restrictions</w:t>
            </w:r>
            <w:r>
              <w:rPr>
                <w:noProof/>
                <w:webHidden/>
              </w:rPr>
              <w:tab/>
            </w:r>
            <w:r>
              <w:rPr>
                <w:noProof/>
                <w:webHidden/>
              </w:rPr>
              <w:fldChar w:fldCharType="begin"/>
            </w:r>
            <w:r>
              <w:rPr>
                <w:noProof/>
                <w:webHidden/>
              </w:rPr>
              <w:instrText xml:space="preserve"> PAGEREF _Toc221025476 \h </w:instrText>
            </w:r>
            <w:r>
              <w:rPr>
                <w:noProof/>
                <w:webHidden/>
              </w:rPr>
            </w:r>
            <w:r>
              <w:rPr>
                <w:noProof/>
                <w:webHidden/>
              </w:rPr>
              <w:fldChar w:fldCharType="separate"/>
            </w:r>
            <w:r>
              <w:rPr>
                <w:noProof/>
                <w:webHidden/>
              </w:rPr>
              <w:t>4</w:t>
            </w:r>
            <w:r>
              <w:rPr>
                <w:noProof/>
                <w:webHidden/>
              </w:rPr>
              <w:fldChar w:fldCharType="end"/>
            </w:r>
          </w:hyperlink>
        </w:p>
        <w:p w14:paraId="4AAD3C27" w14:textId="0450FD0E" w:rsidR="00E90E95" w:rsidRDefault="00E90E9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25477" w:history="1">
            <w:r w:rsidRPr="007A35D9">
              <w:rPr>
                <w:rStyle w:val="Hyperlink"/>
                <w:noProof/>
              </w:rPr>
              <w:t>4.</w:t>
            </w:r>
            <w:r>
              <w:rPr>
                <w:rFonts w:asciiTheme="minorHAnsi" w:eastAsiaTheme="minorEastAsia" w:hAnsiTheme="minorHAnsi" w:cstheme="minorBidi"/>
                <w:b w:val="0"/>
                <w:noProof/>
                <w:kern w:val="2"/>
                <w:sz w:val="24"/>
                <w14:ligatures w14:val="standardContextual"/>
              </w:rPr>
              <w:tab/>
            </w:r>
            <w:r w:rsidRPr="007A35D9">
              <w:rPr>
                <w:rStyle w:val="Hyperlink"/>
                <w:noProof/>
              </w:rPr>
              <w:t>Software Layout</w:t>
            </w:r>
            <w:r>
              <w:rPr>
                <w:noProof/>
                <w:webHidden/>
              </w:rPr>
              <w:tab/>
            </w:r>
            <w:r>
              <w:rPr>
                <w:noProof/>
                <w:webHidden/>
              </w:rPr>
              <w:fldChar w:fldCharType="begin"/>
            </w:r>
            <w:r>
              <w:rPr>
                <w:noProof/>
                <w:webHidden/>
              </w:rPr>
              <w:instrText xml:space="preserve"> PAGEREF _Toc221025477 \h </w:instrText>
            </w:r>
            <w:r>
              <w:rPr>
                <w:noProof/>
                <w:webHidden/>
              </w:rPr>
            </w:r>
            <w:r>
              <w:rPr>
                <w:noProof/>
                <w:webHidden/>
              </w:rPr>
              <w:fldChar w:fldCharType="separate"/>
            </w:r>
            <w:r>
              <w:rPr>
                <w:noProof/>
                <w:webHidden/>
              </w:rPr>
              <w:t>4</w:t>
            </w:r>
            <w:r>
              <w:rPr>
                <w:noProof/>
                <w:webHidden/>
              </w:rPr>
              <w:fldChar w:fldCharType="end"/>
            </w:r>
          </w:hyperlink>
        </w:p>
        <w:p w14:paraId="72E98DAA" w14:textId="3DBE29CE" w:rsidR="00E90E95" w:rsidRDefault="00E90E9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25478" w:history="1">
            <w:r w:rsidRPr="007A35D9">
              <w:rPr>
                <w:rStyle w:val="Hyperlink"/>
                <w:noProof/>
              </w:rPr>
              <w:t>5.</w:t>
            </w:r>
            <w:r>
              <w:rPr>
                <w:rFonts w:asciiTheme="minorHAnsi" w:eastAsiaTheme="minorEastAsia" w:hAnsiTheme="minorHAnsi" w:cstheme="minorBidi"/>
                <w:b w:val="0"/>
                <w:noProof/>
                <w:kern w:val="2"/>
                <w:sz w:val="24"/>
                <w14:ligatures w14:val="standardContextual"/>
              </w:rPr>
              <w:tab/>
            </w:r>
            <w:r w:rsidRPr="007A35D9">
              <w:rPr>
                <w:rStyle w:val="Hyperlink"/>
                <w:noProof/>
              </w:rPr>
              <w:t>Start Up</w:t>
            </w:r>
            <w:r>
              <w:rPr>
                <w:noProof/>
                <w:webHidden/>
              </w:rPr>
              <w:tab/>
            </w:r>
            <w:r>
              <w:rPr>
                <w:noProof/>
                <w:webHidden/>
              </w:rPr>
              <w:fldChar w:fldCharType="begin"/>
            </w:r>
            <w:r>
              <w:rPr>
                <w:noProof/>
                <w:webHidden/>
              </w:rPr>
              <w:instrText xml:space="preserve"> PAGEREF _Toc221025478 \h </w:instrText>
            </w:r>
            <w:r>
              <w:rPr>
                <w:noProof/>
                <w:webHidden/>
              </w:rPr>
            </w:r>
            <w:r>
              <w:rPr>
                <w:noProof/>
                <w:webHidden/>
              </w:rPr>
              <w:fldChar w:fldCharType="separate"/>
            </w:r>
            <w:r>
              <w:rPr>
                <w:noProof/>
                <w:webHidden/>
              </w:rPr>
              <w:t>4</w:t>
            </w:r>
            <w:r>
              <w:rPr>
                <w:noProof/>
                <w:webHidden/>
              </w:rPr>
              <w:fldChar w:fldCharType="end"/>
            </w:r>
          </w:hyperlink>
        </w:p>
        <w:p w14:paraId="04ECA960" w14:textId="164E400B" w:rsidR="00E90E95" w:rsidRDefault="00E90E9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25479" w:history="1">
            <w:r w:rsidRPr="007A35D9">
              <w:rPr>
                <w:rStyle w:val="Hyperlink"/>
                <w:noProof/>
              </w:rPr>
              <w:t>6.</w:t>
            </w:r>
            <w:r>
              <w:rPr>
                <w:rFonts w:asciiTheme="minorHAnsi" w:eastAsiaTheme="minorEastAsia" w:hAnsiTheme="minorHAnsi" w:cstheme="minorBidi"/>
                <w:b w:val="0"/>
                <w:noProof/>
                <w:kern w:val="2"/>
                <w:sz w:val="24"/>
                <w14:ligatures w14:val="standardContextual"/>
              </w:rPr>
              <w:tab/>
            </w:r>
            <w:r w:rsidRPr="007A35D9">
              <w:rPr>
                <w:rStyle w:val="Hyperlink"/>
                <w:noProof/>
              </w:rPr>
              <w:t>Sample Mounting</w:t>
            </w:r>
            <w:r>
              <w:rPr>
                <w:noProof/>
                <w:webHidden/>
              </w:rPr>
              <w:tab/>
            </w:r>
            <w:r>
              <w:rPr>
                <w:noProof/>
                <w:webHidden/>
              </w:rPr>
              <w:fldChar w:fldCharType="begin"/>
            </w:r>
            <w:r>
              <w:rPr>
                <w:noProof/>
                <w:webHidden/>
              </w:rPr>
              <w:instrText xml:space="preserve"> PAGEREF _Toc221025479 \h </w:instrText>
            </w:r>
            <w:r>
              <w:rPr>
                <w:noProof/>
                <w:webHidden/>
              </w:rPr>
            </w:r>
            <w:r>
              <w:rPr>
                <w:noProof/>
                <w:webHidden/>
              </w:rPr>
              <w:fldChar w:fldCharType="separate"/>
            </w:r>
            <w:r>
              <w:rPr>
                <w:noProof/>
                <w:webHidden/>
              </w:rPr>
              <w:t>5</w:t>
            </w:r>
            <w:r>
              <w:rPr>
                <w:noProof/>
                <w:webHidden/>
              </w:rPr>
              <w:fldChar w:fldCharType="end"/>
            </w:r>
          </w:hyperlink>
        </w:p>
        <w:p w14:paraId="062A69AC" w14:textId="38F93344" w:rsidR="00E90E95" w:rsidRDefault="00E90E9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25480" w:history="1">
            <w:r w:rsidRPr="007A35D9">
              <w:rPr>
                <w:rStyle w:val="Hyperlink"/>
                <w:noProof/>
              </w:rPr>
              <w:t>7.</w:t>
            </w:r>
            <w:r>
              <w:rPr>
                <w:rFonts w:asciiTheme="minorHAnsi" w:eastAsiaTheme="minorEastAsia" w:hAnsiTheme="minorHAnsi" w:cstheme="minorBidi"/>
                <w:b w:val="0"/>
                <w:noProof/>
                <w:kern w:val="2"/>
                <w:sz w:val="24"/>
                <w14:ligatures w14:val="standardContextual"/>
              </w:rPr>
              <w:tab/>
            </w:r>
            <w:r w:rsidRPr="007A35D9">
              <w:rPr>
                <w:rStyle w:val="Hyperlink"/>
                <w:noProof/>
              </w:rPr>
              <w:t>Tool Operation</w:t>
            </w:r>
            <w:r>
              <w:rPr>
                <w:noProof/>
                <w:webHidden/>
              </w:rPr>
              <w:tab/>
            </w:r>
            <w:r>
              <w:rPr>
                <w:noProof/>
                <w:webHidden/>
              </w:rPr>
              <w:fldChar w:fldCharType="begin"/>
            </w:r>
            <w:r>
              <w:rPr>
                <w:noProof/>
                <w:webHidden/>
              </w:rPr>
              <w:instrText xml:space="preserve"> PAGEREF _Toc221025480 \h </w:instrText>
            </w:r>
            <w:r>
              <w:rPr>
                <w:noProof/>
                <w:webHidden/>
              </w:rPr>
            </w:r>
            <w:r>
              <w:rPr>
                <w:noProof/>
                <w:webHidden/>
              </w:rPr>
              <w:fldChar w:fldCharType="separate"/>
            </w:r>
            <w:r>
              <w:rPr>
                <w:noProof/>
                <w:webHidden/>
              </w:rPr>
              <w:t>5</w:t>
            </w:r>
            <w:r>
              <w:rPr>
                <w:noProof/>
                <w:webHidden/>
              </w:rPr>
              <w:fldChar w:fldCharType="end"/>
            </w:r>
          </w:hyperlink>
        </w:p>
        <w:p w14:paraId="24249BE4" w14:textId="2E1513D4" w:rsidR="00E90E95" w:rsidRDefault="00E90E95">
          <w:pPr>
            <w:pStyle w:val="TOC2"/>
            <w:tabs>
              <w:tab w:val="left" w:pos="960"/>
              <w:tab w:val="right" w:leader="dot" w:pos="10502"/>
            </w:tabs>
            <w:rPr>
              <w:rFonts w:asciiTheme="minorHAnsi" w:eastAsiaTheme="minorEastAsia" w:hAnsiTheme="minorHAnsi" w:cstheme="minorBidi"/>
              <w:noProof/>
              <w:kern w:val="2"/>
              <w:sz w:val="24"/>
              <w14:ligatures w14:val="standardContextual"/>
            </w:rPr>
          </w:pPr>
          <w:hyperlink w:anchor="_Toc221025481" w:history="1">
            <w:r w:rsidRPr="007A35D9">
              <w:rPr>
                <w:rStyle w:val="Hyperlink"/>
                <w:noProof/>
              </w:rPr>
              <w:t>7.1.</w:t>
            </w:r>
            <w:r>
              <w:rPr>
                <w:rFonts w:asciiTheme="minorHAnsi" w:eastAsiaTheme="minorEastAsia" w:hAnsiTheme="minorHAnsi" w:cstheme="minorBidi"/>
                <w:noProof/>
                <w:kern w:val="2"/>
                <w:sz w:val="24"/>
                <w14:ligatures w14:val="standardContextual"/>
              </w:rPr>
              <w:tab/>
            </w:r>
            <w:r w:rsidRPr="007A35D9">
              <w:rPr>
                <w:rStyle w:val="Hyperlink"/>
                <w:noProof/>
              </w:rPr>
              <w:t>Sample Loading</w:t>
            </w:r>
            <w:r>
              <w:rPr>
                <w:noProof/>
                <w:webHidden/>
              </w:rPr>
              <w:tab/>
            </w:r>
            <w:r>
              <w:rPr>
                <w:noProof/>
                <w:webHidden/>
              </w:rPr>
              <w:fldChar w:fldCharType="begin"/>
            </w:r>
            <w:r>
              <w:rPr>
                <w:noProof/>
                <w:webHidden/>
              </w:rPr>
              <w:instrText xml:space="preserve"> PAGEREF _Toc221025481 \h </w:instrText>
            </w:r>
            <w:r>
              <w:rPr>
                <w:noProof/>
                <w:webHidden/>
              </w:rPr>
            </w:r>
            <w:r>
              <w:rPr>
                <w:noProof/>
                <w:webHidden/>
              </w:rPr>
              <w:fldChar w:fldCharType="separate"/>
            </w:r>
            <w:r>
              <w:rPr>
                <w:noProof/>
                <w:webHidden/>
              </w:rPr>
              <w:t>5</w:t>
            </w:r>
            <w:r>
              <w:rPr>
                <w:noProof/>
                <w:webHidden/>
              </w:rPr>
              <w:fldChar w:fldCharType="end"/>
            </w:r>
          </w:hyperlink>
        </w:p>
        <w:p w14:paraId="2B7D3A58" w14:textId="0F70B8EB" w:rsidR="00E90E95" w:rsidRDefault="00E90E95">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25482" w:history="1">
            <w:r w:rsidRPr="007A35D9">
              <w:rPr>
                <w:rStyle w:val="Hyperlink"/>
                <w:noProof/>
              </w:rPr>
              <w:t>7.2.</w:t>
            </w:r>
            <w:r>
              <w:rPr>
                <w:rFonts w:asciiTheme="minorHAnsi" w:eastAsiaTheme="minorEastAsia" w:hAnsiTheme="minorHAnsi" w:cstheme="minorBidi"/>
                <w:noProof/>
                <w:kern w:val="2"/>
                <w:sz w:val="24"/>
                <w14:ligatures w14:val="standardContextual"/>
              </w:rPr>
              <w:tab/>
            </w:r>
            <w:r w:rsidRPr="007A35D9">
              <w:rPr>
                <w:rStyle w:val="Hyperlink"/>
                <w:noProof/>
              </w:rPr>
              <w:t>Sample Set-up</w:t>
            </w:r>
            <w:r>
              <w:rPr>
                <w:noProof/>
                <w:webHidden/>
              </w:rPr>
              <w:tab/>
            </w:r>
            <w:r>
              <w:rPr>
                <w:noProof/>
                <w:webHidden/>
              </w:rPr>
              <w:fldChar w:fldCharType="begin"/>
            </w:r>
            <w:r>
              <w:rPr>
                <w:noProof/>
                <w:webHidden/>
              </w:rPr>
              <w:instrText xml:space="preserve"> PAGEREF _Toc221025482 \h </w:instrText>
            </w:r>
            <w:r>
              <w:rPr>
                <w:noProof/>
                <w:webHidden/>
              </w:rPr>
            </w:r>
            <w:r>
              <w:rPr>
                <w:noProof/>
                <w:webHidden/>
              </w:rPr>
              <w:fldChar w:fldCharType="separate"/>
            </w:r>
            <w:r>
              <w:rPr>
                <w:noProof/>
                <w:webHidden/>
              </w:rPr>
              <w:t>8</w:t>
            </w:r>
            <w:r>
              <w:rPr>
                <w:noProof/>
                <w:webHidden/>
              </w:rPr>
              <w:fldChar w:fldCharType="end"/>
            </w:r>
          </w:hyperlink>
        </w:p>
        <w:p w14:paraId="7E340480" w14:textId="6F1D5DBF" w:rsidR="00E90E95" w:rsidRDefault="00E90E95">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25483" w:history="1">
            <w:r w:rsidRPr="007A35D9">
              <w:rPr>
                <w:rStyle w:val="Hyperlink"/>
                <w:noProof/>
              </w:rPr>
              <w:t>7.3.</w:t>
            </w:r>
            <w:r>
              <w:rPr>
                <w:rFonts w:asciiTheme="minorHAnsi" w:eastAsiaTheme="minorEastAsia" w:hAnsiTheme="minorHAnsi" w:cstheme="minorBidi"/>
                <w:noProof/>
                <w:kern w:val="2"/>
                <w:sz w:val="24"/>
                <w14:ligatures w14:val="standardContextual"/>
              </w:rPr>
              <w:tab/>
            </w:r>
            <w:r w:rsidRPr="007A35D9">
              <w:rPr>
                <w:rStyle w:val="Hyperlink"/>
                <w:noProof/>
              </w:rPr>
              <w:t>Collecting XPS Spectrum</w:t>
            </w:r>
            <w:r>
              <w:rPr>
                <w:noProof/>
                <w:webHidden/>
              </w:rPr>
              <w:tab/>
            </w:r>
            <w:r>
              <w:rPr>
                <w:noProof/>
                <w:webHidden/>
              </w:rPr>
              <w:fldChar w:fldCharType="begin"/>
            </w:r>
            <w:r>
              <w:rPr>
                <w:noProof/>
                <w:webHidden/>
              </w:rPr>
              <w:instrText xml:space="preserve"> PAGEREF _Toc221025483 \h </w:instrText>
            </w:r>
            <w:r>
              <w:rPr>
                <w:noProof/>
                <w:webHidden/>
              </w:rPr>
            </w:r>
            <w:r>
              <w:rPr>
                <w:noProof/>
                <w:webHidden/>
              </w:rPr>
              <w:fldChar w:fldCharType="separate"/>
            </w:r>
            <w:r>
              <w:rPr>
                <w:noProof/>
                <w:webHidden/>
              </w:rPr>
              <w:t>10</w:t>
            </w:r>
            <w:r>
              <w:rPr>
                <w:noProof/>
                <w:webHidden/>
              </w:rPr>
              <w:fldChar w:fldCharType="end"/>
            </w:r>
          </w:hyperlink>
        </w:p>
        <w:p w14:paraId="2C9DAE18" w14:textId="774A9E51" w:rsidR="00E90E95" w:rsidRDefault="00E90E95">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25484" w:history="1">
            <w:r w:rsidRPr="007A35D9">
              <w:rPr>
                <w:rStyle w:val="Hyperlink"/>
                <w:noProof/>
              </w:rPr>
              <w:t>7.4.</w:t>
            </w:r>
            <w:r>
              <w:rPr>
                <w:rFonts w:asciiTheme="minorHAnsi" w:eastAsiaTheme="minorEastAsia" w:hAnsiTheme="minorHAnsi" w:cstheme="minorBidi"/>
                <w:noProof/>
                <w:kern w:val="2"/>
                <w:sz w:val="24"/>
                <w14:ligatures w14:val="standardContextual"/>
              </w:rPr>
              <w:tab/>
            </w:r>
            <w:r w:rsidRPr="007A35D9">
              <w:rPr>
                <w:rStyle w:val="Hyperlink"/>
                <w:noProof/>
              </w:rPr>
              <w:t>XPS Depth Profile</w:t>
            </w:r>
            <w:r>
              <w:rPr>
                <w:noProof/>
                <w:webHidden/>
              </w:rPr>
              <w:tab/>
            </w:r>
            <w:r>
              <w:rPr>
                <w:noProof/>
                <w:webHidden/>
              </w:rPr>
              <w:fldChar w:fldCharType="begin"/>
            </w:r>
            <w:r>
              <w:rPr>
                <w:noProof/>
                <w:webHidden/>
              </w:rPr>
              <w:instrText xml:space="preserve"> PAGEREF _Toc221025484 \h </w:instrText>
            </w:r>
            <w:r>
              <w:rPr>
                <w:noProof/>
                <w:webHidden/>
              </w:rPr>
            </w:r>
            <w:r>
              <w:rPr>
                <w:noProof/>
                <w:webHidden/>
              </w:rPr>
              <w:fldChar w:fldCharType="separate"/>
            </w:r>
            <w:r>
              <w:rPr>
                <w:noProof/>
                <w:webHidden/>
              </w:rPr>
              <w:t>13</w:t>
            </w:r>
            <w:r>
              <w:rPr>
                <w:noProof/>
                <w:webHidden/>
              </w:rPr>
              <w:fldChar w:fldCharType="end"/>
            </w:r>
          </w:hyperlink>
        </w:p>
        <w:p w14:paraId="382C917B" w14:textId="5BFC2F55" w:rsidR="00E90E95" w:rsidRDefault="00E90E95">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25485" w:history="1">
            <w:r w:rsidRPr="007A35D9">
              <w:rPr>
                <w:rStyle w:val="Hyperlink"/>
                <w:noProof/>
              </w:rPr>
              <w:t>7.5.</w:t>
            </w:r>
            <w:r>
              <w:rPr>
                <w:rFonts w:asciiTheme="minorHAnsi" w:eastAsiaTheme="minorEastAsia" w:hAnsiTheme="minorHAnsi" w:cstheme="minorBidi"/>
                <w:noProof/>
                <w:kern w:val="2"/>
                <w:sz w:val="24"/>
                <w14:ligatures w14:val="standardContextual"/>
              </w:rPr>
              <w:tab/>
            </w:r>
            <w:r w:rsidRPr="007A35D9">
              <w:rPr>
                <w:rStyle w:val="Hyperlink"/>
                <w:noProof/>
              </w:rPr>
              <w:t>Unloading Sample</w:t>
            </w:r>
            <w:r>
              <w:rPr>
                <w:noProof/>
                <w:webHidden/>
              </w:rPr>
              <w:tab/>
            </w:r>
            <w:r>
              <w:rPr>
                <w:noProof/>
                <w:webHidden/>
              </w:rPr>
              <w:fldChar w:fldCharType="begin"/>
            </w:r>
            <w:r>
              <w:rPr>
                <w:noProof/>
                <w:webHidden/>
              </w:rPr>
              <w:instrText xml:space="preserve"> PAGEREF _Toc221025485 \h </w:instrText>
            </w:r>
            <w:r>
              <w:rPr>
                <w:noProof/>
                <w:webHidden/>
              </w:rPr>
            </w:r>
            <w:r>
              <w:rPr>
                <w:noProof/>
                <w:webHidden/>
              </w:rPr>
              <w:fldChar w:fldCharType="separate"/>
            </w:r>
            <w:r>
              <w:rPr>
                <w:noProof/>
                <w:webHidden/>
              </w:rPr>
              <w:t>13</w:t>
            </w:r>
            <w:r>
              <w:rPr>
                <w:noProof/>
                <w:webHidden/>
              </w:rPr>
              <w:fldChar w:fldCharType="end"/>
            </w:r>
          </w:hyperlink>
        </w:p>
        <w:p w14:paraId="20D5EF75" w14:textId="5744503F" w:rsidR="00E90E95" w:rsidRDefault="00E90E9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25486" w:history="1">
            <w:r w:rsidRPr="007A35D9">
              <w:rPr>
                <w:rStyle w:val="Hyperlink"/>
                <w:noProof/>
              </w:rPr>
              <w:t>8.</w:t>
            </w:r>
            <w:r>
              <w:rPr>
                <w:rFonts w:asciiTheme="minorHAnsi" w:eastAsiaTheme="minorEastAsia" w:hAnsiTheme="minorHAnsi" w:cstheme="minorBidi"/>
                <w:b w:val="0"/>
                <w:noProof/>
                <w:kern w:val="2"/>
                <w:sz w:val="24"/>
                <w14:ligatures w14:val="standardContextual"/>
              </w:rPr>
              <w:tab/>
            </w:r>
            <w:r w:rsidRPr="007A35D9">
              <w:rPr>
                <w:rStyle w:val="Hyperlink"/>
                <w:noProof/>
              </w:rPr>
              <w:t>Ending The Session</w:t>
            </w:r>
            <w:r>
              <w:rPr>
                <w:noProof/>
                <w:webHidden/>
              </w:rPr>
              <w:tab/>
            </w:r>
            <w:r>
              <w:rPr>
                <w:noProof/>
                <w:webHidden/>
              </w:rPr>
              <w:fldChar w:fldCharType="begin"/>
            </w:r>
            <w:r>
              <w:rPr>
                <w:noProof/>
                <w:webHidden/>
              </w:rPr>
              <w:instrText xml:space="preserve"> PAGEREF _Toc221025486 \h </w:instrText>
            </w:r>
            <w:r>
              <w:rPr>
                <w:noProof/>
                <w:webHidden/>
              </w:rPr>
            </w:r>
            <w:r>
              <w:rPr>
                <w:noProof/>
                <w:webHidden/>
              </w:rPr>
              <w:fldChar w:fldCharType="separate"/>
            </w:r>
            <w:r>
              <w:rPr>
                <w:noProof/>
                <w:webHidden/>
              </w:rPr>
              <w:t>14</w:t>
            </w:r>
            <w:r>
              <w:rPr>
                <w:noProof/>
                <w:webHidden/>
              </w:rPr>
              <w:fldChar w:fldCharType="end"/>
            </w:r>
          </w:hyperlink>
        </w:p>
        <w:p w14:paraId="56C55CCD" w14:textId="4A5011D4"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30CFEA86"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8B18A5">
      <w:pPr>
        <w:pStyle w:val="Sectionheading"/>
      </w:pPr>
      <w:bookmarkStart w:id="0" w:name="_Toc221025474"/>
      <w:r w:rsidRPr="008B18A5">
        <w:lastRenderedPageBreak/>
        <w:t>Safety information</w:t>
      </w:r>
      <w:bookmarkEnd w:id="0"/>
    </w:p>
    <w:p w14:paraId="7ECA142B" w14:textId="3EA3AD2E" w:rsidR="00685240" w:rsidRPr="00D47502" w:rsidRDefault="00D47502" w:rsidP="00D47502">
      <w:pPr>
        <w:pStyle w:val="ListParagraph"/>
        <w:numPr>
          <w:ilvl w:val="0"/>
          <w:numId w:val="47"/>
        </w:numPr>
        <w:rPr>
          <w:rFonts w:ascii="Lexend" w:hAnsi="Lexend" w:cs="Arial"/>
          <w:color w:val="000000"/>
        </w:rPr>
      </w:pPr>
      <w:r w:rsidRPr="00D47502">
        <w:rPr>
          <w:rFonts w:ascii="Lexend" w:hAnsi="Lexend" w:cs="Arial"/>
          <w:b/>
          <w:bCs/>
          <w:color w:val="000000"/>
        </w:rPr>
        <w:t>High Voltage</w:t>
      </w:r>
      <w:r w:rsidRPr="00D47502">
        <w:rPr>
          <w:rFonts w:ascii="Lexend" w:hAnsi="Lexend" w:cs="Arial"/>
          <w:color w:val="000000"/>
        </w:rPr>
        <w:t xml:space="preserve"> - High Voltage is used throughout the system.  System maintenance may only be performed by NRF Staff.  Do not remove any tool covers or defeat any interlock on this system. </w:t>
      </w:r>
    </w:p>
    <w:p w14:paraId="5C369D4C" w14:textId="73093711" w:rsidR="00976B0D" w:rsidRPr="008B18A5" w:rsidRDefault="00976B0D" w:rsidP="008B18A5">
      <w:pPr>
        <w:pStyle w:val="Sectionheading"/>
      </w:pPr>
      <w:bookmarkStart w:id="1" w:name="_Toc221025475"/>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4931A931" w14:textId="4AAFFFB5" w:rsidR="004E6E94" w:rsidRPr="00D47502" w:rsidRDefault="00A47253" w:rsidP="00D47502">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r w:rsidR="00934ABA" w:rsidRPr="00D47502">
        <w:rPr>
          <w:rFonts w:ascii="Lexend" w:hAnsi="Lexend" w:cs="Arial"/>
          <w:color w:val="000000" w:themeColor="text1"/>
        </w:rPr>
        <w:br w:type="page"/>
      </w:r>
    </w:p>
    <w:p w14:paraId="5C62315C" w14:textId="44E8F171" w:rsidR="00CA09DF" w:rsidRDefault="00B263FA" w:rsidP="00B263FA">
      <w:pPr>
        <w:pStyle w:val="Sectionheading"/>
      </w:pPr>
      <w:bookmarkStart w:id="2" w:name="_Toc221025476"/>
      <w:r>
        <w:lastRenderedPageBreak/>
        <w:t>Sample Restrictions</w:t>
      </w:r>
      <w:bookmarkStart w:id="3" w:name="_Hlk220427416"/>
      <w:bookmarkStart w:id="4" w:name="_Hlk220427287"/>
      <w:bookmarkEnd w:id="2"/>
    </w:p>
    <w:p w14:paraId="431B8DAA" w14:textId="3A8ADB93" w:rsidR="00B263FA" w:rsidRDefault="00CC0DC8" w:rsidP="00CC0DC8">
      <w:pPr>
        <w:pStyle w:val="011Subsection"/>
      </w:pPr>
      <w:r>
        <w:t>Sample MUST be compatible with ultra-high vacuum.</w:t>
      </w:r>
    </w:p>
    <w:p w14:paraId="024A5E4E" w14:textId="29ED2DCD" w:rsidR="00CC0DC8" w:rsidRDefault="00CC0DC8" w:rsidP="00CC0DC8">
      <w:pPr>
        <w:pStyle w:val="011Subsection"/>
      </w:pPr>
      <w:r>
        <w:t>No sample may extend past the edge of the sample holder.</w:t>
      </w:r>
    </w:p>
    <w:p w14:paraId="079D49AC" w14:textId="0A567813" w:rsidR="00CC0DC8" w:rsidRDefault="00CC0DC8" w:rsidP="00CC0DC8">
      <w:pPr>
        <w:pStyle w:val="011Subsection"/>
      </w:pPr>
      <w:r>
        <w:t>Sample MUST be less than 5mm in height.</w:t>
      </w:r>
    </w:p>
    <w:p w14:paraId="39E03C1A" w14:textId="414E004C" w:rsidR="00CC0DC8" w:rsidRPr="00B263FA" w:rsidRDefault="00CC0DC8" w:rsidP="00CC0DC8">
      <w:pPr>
        <w:pStyle w:val="011Subsection"/>
      </w:pPr>
      <w:r>
        <w:t>Height difference between samples on the same holder must be less than 1mm.</w:t>
      </w:r>
    </w:p>
    <w:p w14:paraId="57A070E9" w14:textId="2E22D068" w:rsidR="00776824" w:rsidRDefault="00776824" w:rsidP="00776824">
      <w:pPr>
        <w:pStyle w:val="Sectionheading"/>
      </w:pPr>
      <w:bookmarkStart w:id="5" w:name="_Toc221025477"/>
      <w:r>
        <w:t>Software Layout</w:t>
      </w:r>
      <w:bookmarkEnd w:id="5"/>
    </w:p>
    <w:p w14:paraId="4FC7069D" w14:textId="6AB71900" w:rsidR="00CC0DC8" w:rsidRPr="00CC0DC8" w:rsidRDefault="00CC0DC8" w:rsidP="00CC0DC8">
      <w:pPr>
        <w:pStyle w:val="011Subsection"/>
      </w:pPr>
      <w:r>
        <w:t>The software features the main session tabs at the top of the window and application tabs on the right side. Selecting one of the session tabs will change the application tabs that are available.</w:t>
      </w:r>
    </w:p>
    <w:p w14:paraId="7CE2FA57" w14:textId="4C86A48F" w:rsidR="00776824" w:rsidRPr="00776824" w:rsidRDefault="00CC0DC8" w:rsidP="00CC0DC8">
      <w:pPr>
        <w:pStyle w:val="011Subsection"/>
        <w:numPr>
          <w:ilvl w:val="0"/>
          <w:numId w:val="0"/>
        </w:numPr>
        <w:jc w:val="center"/>
      </w:pPr>
      <w:r>
        <w:rPr>
          <w:b/>
          <w:noProof/>
        </w:rPr>
        <w:drawing>
          <wp:inline distT="0" distB="0" distL="0" distR="0" wp14:anchorId="6463D86A" wp14:editId="04F2E903">
            <wp:extent cx="5112689" cy="3159911"/>
            <wp:effectExtent l="0" t="0" r="0" b="2540"/>
            <wp:docPr id="7" name="Picture 7" descr="Screenshot of main softwar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main software wind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812" cy="3167403"/>
                    </a:xfrm>
                    <a:prstGeom prst="rect">
                      <a:avLst/>
                    </a:prstGeom>
                    <a:noFill/>
                  </pic:spPr>
                </pic:pic>
              </a:graphicData>
            </a:graphic>
          </wp:inline>
        </w:drawing>
      </w:r>
    </w:p>
    <w:p w14:paraId="51E2CC7B" w14:textId="183C869E" w:rsidR="00421725" w:rsidRPr="00F14C1A" w:rsidRDefault="00B263FA" w:rsidP="00D908D9">
      <w:pPr>
        <w:pStyle w:val="Sectionheading"/>
      </w:pPr>
      <w:bookmarkStart w:id="6" w:name="_Toc221025478"/>
      <w:r>
        <w:t>Start Up</w:t>
      </w:r>
      <w:bookmarkEnd w:id="6"/>
    </w:p>
    <w:bookmarkEnd w:id="3"/>
    <w:p w14:paraId="0A7E7674" w14:textId="7558C543" w:rsidR="00776824" w:rsidRDefault="00B263FA" w:rsidP="00776824">
      <w:pPr>
        <w:pStyle w:val="011Subsection"/>
      </w:pPr>
      <w:r>
        <w:t>Log in to TUMI</w:t>
      </w:r>
      <w:r w:rsidR="00CC0DC8">
        <w:t>.</w:t>
      </w:r>
    </w:p>
    <w:p w14:paraId="30FC4ACD" w14:textId="25EEA377" w:rsidR="00CC0DC8" w:rsidRDefault="00CC0DC8" w:rsidP="00CC0DC8">
      <w:pPr>
        <w:pStyle w:val="011Subsection"/>
      </w:pPr>
      <w:r>
        <w:t>Start the</w:t>
      </w:r>
      <w:r>
        <w:t xml:space="preserve"> </w:t>
      </w:r>
      <w:proofErr w:type="spellStart"/>
      <w:r>
        <w:t>Smartsoft</w:t>
      </w:r>
      <w:proofErr w:type="spellEnd"/>
      <w:r>
        <w:t xml:space="preserve"> software if not already open</w:t>
      </w:r>
      <w:r>
        <w:t>.</w:t>
      </w:r>
    </w:p>
    <w:p w14:paraId="1B9FB673" w14:textId="26F4DFCF" w:rsidR="00776824" w:rsidRDefault="00CC0DC8" w:rsidP="00CC0DC8">
      <w:pPr>
        <w:pStyle w:val="Default"/>
        <w:jc w:val="center"/>
      </w:pPr>
      <w:r w:rsidRPr="00CC0DC8">
        <w:drawing>
          <wp:inline distT="0" distB="0" distL="0" distR="0" wp14:anchorId="1B3AD2FB" wp14:editId="43FC2A37">
            <wp:extent cx="749873" cy="591363"/>
            <wp:effectExtent l="0" t="0" r="0" b="0"/>
            <wp:docPr id="44" name="Picture 43" descr="Screenshot of software shortcut">
              <a:extLst xmlns:a="http://schemas.openxmlformats.org/drawingml/2006/main">
                <a:ext uri="{FF2B5EF4-FFF2-40B4-BE49-F238E27FC236}">
                  <a16:creationId xmlns:a16="http://schemas.microsoft.com/office/drawing/2014/main" id="{59F17E7C-3333-777C-07EA-6DD6875C2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Screenshot of software shortcut">
                      <a:extLst>
                        <a:ext uri="{FF2B5EF4-FFF2-40B4-BE49-F238E27FC236}">
                          <a16:creationId xmlns:a16="http://schemas.microsoft.com/office/drawing/2014/main" id="{59F17E7C-3333-777C-07EA-6DD6875C253B}"/>
                        </a:ext>
                      </a:extLst>
                    </pic:cNvPr>
                    <pic:cNvPicPr>
                      <a:picLocks noChangeAspect="1"/>
                    </pic:cNvPicPr>
                  </pic:nvPicPr>
                  <pic:blipFill>
                    <a:blip r:embed="rId11"/>
                    <a:stretch>
                      <a:fillRect/>
                    </a:stretch>
                  </pic:blipFill>
                  <pic:spPr>
                    <a:xfrm>
                      <a:off x="0" y="0"/>
                      <a:ext cx="749873" cy="591363"/>
                    </a:xfrm>
                    <a:prstGeom prst="rect">
                      <a:avLst/>
                    </a:prstGeom>
                  </pic:spPr>
                </pic:pic>
              </a:graphicData>
            </a:graphic>
          </wp:inline>
        </w:drawing>
      </w:r>
    </w:p>
    <w:p w14:paraId="2977983B" w14:textId="33C8D777" w:rsidR="007B0098" w:rsidRDefault="007B0098" w:rsidP="007B0098">
      <w:pPr>
        <w:pStyle w:val="Sectionheading"/>
      </w:pPr>
      <w:bookmarkStart w:id="7" w:name="_Toc221025479"/>
      <w:r>
        <w:lastRenderedPageBreak/>
        <w:t>Sample Mounting</w:t>
      </w:r>
      <w:bookmarkEnd w:id="7"/>
    </w:p>
    <w:p w14:paraId="6C17E659" w14:textId="77777777" w:rsidR="007B0098" w:rsidRDefault="007B0098" w:rsidP="007B0098">
      <w:pPr>
        <w:pStyle w:val="011Subsection"/>
      </w:pPr>
      <w:r>
        <w:t xml:space="preserve">Samples must be mounted on a holder using the double-sided tape that is </w:t>
      </w:r>
      <w:proofErr w:type="gramStart"/>
      <w:r>
        <w:t>provided, or</w:t>
      </w:r>
      <w:proofErr w:type="gramEnd"/>
      <w:r>
        <w:t xml:space="preserve"> use the metal masks. Users can only use the 25mm or 60mm holders.</w:t>
      </w:r>
    </w:p>
    <w:p w14:paraId="6BECD925" w14:textId="4232A518" w:rsidR="007B0098" w:rsidRDefault="007B0098" w:rsidP="007B0098">
      <w:pPr>
        <w:pStyle w:val="011Subsection"/>
        <w:numPr>
          <w:ilvl w:val="4"/>
          <w:numId w:val="78"/>
        </w:numPr>
      </w:pPr>
      <w:r>
        <w:t>25mm</w:t>
      </w:r>
      <w:r>
        <w:t xml:space="preserve"> holder - Normal use </w:t>
      </w:r>
    </w:p>
    <w:p w14:paraId="2CF82202" w14:textId="70220209" w:rsidR="007B0098" w:rsidRDefault="007B0098" w:rsidP="007B0098">
      <w:pPr>
        <w:pStyle w:val="011Subsection"/>
        <w:numPr>
          <w:ilvl w:val="4"/>
          <w:numId w:val="78"/>
        </w:numPr>
      </w:pPr>
      <w:r>
        <w:t>60mm</w:t>
      </w:r>
      <w:r>
        <w:t xml:space="preserve"> holder - For large samples or to analyze a lot of samples at once (*Stage tilt angle is fixed to 45 degrees when in use*)</w:t>
      </w:r>
    </w:p>
    <w:p w14:paraId="5CFBD620" w14:textId="1A287B69" w:rsidR="007B0098" w:rsidRPr="007B0098" w:rsidRDefault="007B0098" w:rsidP="007B0098">
      <w:pPr>
        <w:pStyle w:val="011Subsection"/>
      </w:pPr>
      <w:r>
        <w:t>Do not touch your sample, the holder, or the business end of any tweezers with your bare fingers. Always use gloves and tweezers to mount and manipulate the sample and holder.</w:t>
      </w:r>
    </w:p>
    <w:p w14:paraId="6EDB9B15" w14:textId="4B1E0472" w:rsidR="00FC7895" w:rsidRDefault="00FC7895" w:rsidP="00FC7895">
      <w:pPr>
        <w:pStyle w:val="Sectionheading"/>
      </w:pPr>
      <w:bookmarkStart w:id="8" w:name="_Toc221025480"/>
      <w:r>
        <w:t>Tool Operation</w:t>
      </w:r>
      <w:bookmarkEnd w:id="8"/>
    </w:p>
    <w:p w14:paraId="04BA11D9" w14:textId="1918ED28" w:rsidR="007B0098" w:rsidRPr="007B0098" w:rsidRDefault="007B0098" w:rsidP="007B0098">
      <w:pPr>
        <w:pStyle w:val="01Subsection"/>
      </w:pPr>
      <w:bookmarkStart w:id="9" w:name="_Toc221025481"/>
      <w:r>
        <w:t>Sample Loading</w:t>
      </w:r>
      <w:bookmarkEnd w:id="9"/>
    </w:p>
    <w:p w14:paraId="714B5D10" w14:textId="77777777" w:rsidR="007B0098" w:rsidRDefault="007B0098" w:rsidP="007B0098">
      <w:pPr>
        <w:pStyle w:val="011Subsection"/>
      </w:pPr>
      <w:r>
        <w:t>Go to the ‘System’ session tab and click on the ‘Sample transfer’ application tab.</w:t>
      </w:r>
    </w:p>
    <w:p w14:paraId="733E2798" w14:textId="778BE890" w:rsidR="007B0098" w:rsidRDefault="007B0098" w:rsidP="007B0098">
      <w:pPr>
        <w:pStyle w:val="011Subsection"/>
      </w:pPr>
      <w:r>
        <w:t xml:space="preserve">Click the ‘Create sample’ button and input a new platen name. The typical convention used is a YYMMDD </w:t>
      </w:r>
      <w:proofErr w:type="gramStart"/>
      <w:r>
        <w:t>format</w:t>
      </w:r>
      <w:r>
        <w:t>, but</w:t>
      </w:r>
      <w:proofErr w:type="gramEnd"/>
      <w:r>
        <w:t xml:space="preserve"> can be any text or numbers that you wish to use</w:t>
      </w:r>
      <w:r>
        <w:t>.</w:t>
      </w:r>
    </w:p>
    <w:p w14:paraId="3281EAEE" w14:textId="77777777" w:rsidR="007B0098" w:rsidRDefault="007B0098" w:rsidP="007B0098">
      <w:pPr>
        <w:pStyle w:val="011Subsection"/>
      </w:pPr>
      <w:r>
        <w:t>The ‘Data Manager Properties’ window will pop up and you can select the correct holder type (25mm or 60mm) from the pull-down menu.</w:t>
      </w:r>
    </w:p>
    <w:p w14:paraId="3D1E77EA" w14:textId="77777777" w:rsidR="007B0098" w:rsidRDefault="007B0098" w:rsidP="007B0098">
      <w:pPr>
        <w:pStyle w:val="Default"/>
        <w:spacing w:after="240"/>
        <w:ind w:left="792"/>
        <w:jc w:val="center"/>
      </w:pPr>
      <w:r>
        <w:rPr>
          <w:noProof/>
        </w:rPr>
        <w:drawing>
          <wp:inline distT="0" distB="0" distL="0" distR="0" wp14:anchorId="68C43696" wp14:editId="500A2F66">
            <wp:extent cx="2210430" cy="1717675"/>
            <wp:effectExtent l="0" t="0" r="0" b="0"/>
            <wp:docPr id="896838047" name="Picture 896838047" descr="A screenshot of the data manager window with holder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38047" name="Picture 896838047" descr="A screenshot of the data manager window with holder select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0788" cy="1725724"/>
                    </a:xfrm>
                    <a:prstGeom prst="rect">
                      <a:avLst/>
                    </a:prstGeom>
                    <a:noFill/>
                  </pic:spPr>
                </pic:pic>
              </a:graphicData>
            </a:graphic>
          </wp:inline>
        </w:drawing>
      </w:r>
    </w:p>
    <w:p w14:paraId="54EB2279" w14:textId="5D82A1EF" w:rsidR="007B0098" w:rsidRDefault="007B0098" w:rsidP="007B0098">
      <w:pPr>
        <w:pStyle w:val="011Subsection"/>
      </w:pPr>
      <w:r>
        <w:t xml:space="preserve">Click on the ‘Directory’ tab in the properties window to </w:t>
      </w:r>
      <w:proofErr w:type="gramStart"/>
      <w:r>
        <w:t>select, or</w:t>
      </w:r>
      <w:proofErr w:type="gramEnd"/>
      <w:r>
        <w:t xml:space="preserve"> create the location to store your data. All data must be stored in a subdirectory of C:\Data Files\Users. Use the ‘Browse’ button to ope</w:t>
      </w:r>
      <w:r>
        <w:t>n the</w:t>
      </w:r>
      <w:r>
        <w:t xml:space="preserve"> file explorer window and close the ‘Properties’ window when done.</w:t>
      </w:r>
    </w:p>
    <w:p w14:paraId="5B966D52" w14:textId="77777777" w:rsidR="007B0098" w:rsidRDefault="007B0098" w:rsidP="007B0098">
      <w:pPr>
        <w:pStyle w:val="Default"/>
        <w:spacing w:after="240"/>
        <w:ind w:left="792"/>
        <w:jc w:val="center"/>
      </w:pPr>
      <w:r>
        <w:rPr>
          <w:noProof/>
        </w:rPr>
        <w:lastRenderedPageBreak/>
        <w:drawing>
          <wp:inline distT="0" distB="0" distL="0" distR="0" wp14:anchorId="22F397C3" wp14:editId="79E3EA45">
            <wp:extent cx="2505710" cy="3182620"/>
            <wp:effectExtent l="0" t="0" r="0" b="0"/>
            <wp:docPr id="10" name="Picture 10" descr="A screenshot data manager window with director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data manager window with directory op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710" cy="3182620"/>
                    </a:xfrm>
                    <a:prstGeom prst="rect">
                      <a:avLst/>
                    </a:prstGeom>
                    <a:noFill/>
                  </pic:spPr>
                </pic:pic>
              </a:graphicData>
            </a:graphic>
          </wp:inline>
        </w:drawing>
      </w:r>
    </w:p>
    <w:p w14:paraId="34ECDC2D" w14:textId="77777777" w:rsidR="007B0098" w:rsidRDefault="007B0098" w:rsidP="007B0098">
      <w:pPr>
        <w:pStyle w:val="011Subsection"/>
      </w:pPr>
      <w:r>
        <w:t>While still in the ‘System’ session tab, click on the ‘Vacuum’ application tab.</w:t>
      </w:r>
    </w:p>
    <w:p w14:paraId="7DC767B6" w14:textId="77777777" w:rsidR="007B0098" w:rsidRDefault="007B0098" w:rsidP="007B0098">
      <w:pPr>
        <w:pStyle w:val="011Subsection"/>
      </w:pPr>
      <w:r>
        <w:t>Select ‘Backfill intro’ from the ‘Task’ pull-down menu. Then click on ‘Process Task’. This will vent the intro chamber (</w:t>
      </w:r>
      <w:proofErr w:type="spellStart"/>
      <w:r>
        <w:t>loadlock</w:t>
      </w:r>
      <w:proofErr w:type="spellEnd"/>
      <w:r>
        <w:t xml:space="preserve"> chamber).</w:t>
      </w:r>
    </w:p>
    <w:p w14:paraId="65E2A840" w14:textId="77777777" w:rsidR="007B0098" w:rsidRDefault="007B0098" w:rsidP="007B0098">
      <w:pPr>
        <w:pStyle w:val="Default"/>
        <w:spacing w:after="240"/>
        <w:ind w:left="792"/>
        <w:jc w:val="center"/>
      </w:pPr>
      <w:r>
        <w:rPr>
          <w:noProof/>
        </w:rPr>
        <w:drawing>
          <wp:inline distT="0" distB="0" distL="0" distR="0" wp14:anchorId="241254D9" wp14:editId="14408DBA">
            <wp:extent cx="2898778" cy="1116965"/>
            <wp:effectExtent l="0" t="0" r="0" b="0"/>
            <wp:docPr id="11" name="Picture 11" descr="A screenshot of the vacuum task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the vacuum task wind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6917" cy="1123954"/>
                    </a:xfrm>
                    <a:prstGeom prst="rect">
                      <a:avLst/>
                    </a:prstGeom>
                    <a:noFill/>
                  </pic:spPr>
                </pic:pic>
              </a:graphicData>
            </a:graphic>
          </wp:inline>
        </w:drawing>
      </w:r>
    </w:p>
    <w:p w14:paraId="77412943" w14:textId="2FE37210" w:rsidR="00DF6AB7" w:rsidRDefault="00DF6AB7" w:rsidP="00DF6AB7">
      <w:pPr>
        <w:pStyle w:val="011Subsection"/>
        <w:numPr>
          <w:ilvl w:val="0"/>
          <w:numId w:val="94"/>
        </w:numPr>
      </w:pPr>
      <w:r>
        <w:t>Or right-click on the intro chamber and select “Backfill intro”.</w:t>
      </w:r>
    </w:p>
    <w:p w14:paraId="435D9842" w14:textId="77777777" w:rsidR="007B0098" w:rsidRDefault="007B0098" w:rsidP="007B0098">
      <w:pPr>
        <w:pStyle w:val="011Subsection"/>
      </w:pPr>
      <w:r>
        <w:t>Remove the cap and place upside down on a surface. Do not put the sealing surface of the cap in contact with another surface.</w:t>
      </w:r>
    </w:p>
    <w:p w14:paraId="78A7033A" w14:textId="77777777" w:rsidR="007B0098" w:rsidRDefault="007B0098" w:rsidP="007B0098">
      <w:pPr>
        <w:pStyle w:val="011Subsection"/>
      </w:pPr>
      <w:r>
        <w:t>Use the large tweezers hanging from the transfer arm to grab the holder and place it on the fork of the intro rod as shown in step 3 in the image below.</w:t>
      </w:r>
    </w:p>
    <w:p w14:paraId="3A33AD73" w14:textId="77777777" w:rsidR="007B0098" w:rsidRDefault="007B0098" w:rsidP="007B0098">
      <w:pPr>
        <w:pStyle w:val="Default"/>
        <w:spacing w:after="240"/>
        <w:ind w:left="792"/>
        <w:jc w:val="center"/>
      </w:pPr>
      <w:r>
        <w:rPr>
          <w:noProof/>
        </w:rPr>
        <w:lastRenderedPageBreak/>
        <w:drawing>
          <wp:inline distT="0" distB="0" distL="0" distR="0" wp14:anchorId="3AF289B2" wp14:editId="55716D8D">
            <wp:extent cx="4627659" cy="3459684"/>
            <wp:effectExtent l="0" t="0" r="1905" b="7620"/>
            <wp:docPr id="955109657" name="Picture 955109657" descr="A collage of several images showing proper placement of sample on the loa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09657" name="Picture 955109657" descr="A collage of several images showing proper placement of sample on the load arm"/>
                    <pic:cNvPicPr/>
                  </pic:nvPicPr>
                  <pic:blipFill>
                    <a:blip r:embed="rId15"/>
                    <a:stretch>
                      <a:fillRect/>
                    </a:stretch>
                  </pic:blipFill>
                  <pic:spPr>
                    <a:xfrm>
                      <a:off x="0" y="0"/>
                      <a:ext cx="4638008" cy="3467421"/>
                    </a:xfrm>
                    <a:prstGeom prst="rect">
                      <a:avLst/>
                    </a:prstGeom>
                  </pic:spPr>
                </pic:pic>
              </a:graphicData>
            </a:graphic>
          </wp:inline>
        </w:drawing>
      </w:r>
    </w:p>
    <w:p w14:paraId="6B91E579" w14:textId="77777777" w:rsidR="007B0098" w:rsidRPr="007B0098" w:rsidRDefault="007B0098" w:rsidP="007B0098">
      <w:pPr>
        <w:pStyle w:val="011Subsection"/>
      </w:pPr>
      <w:r w:rsidRPr="007B0098">
        <w:t>Ensure that the indented part of the holder is aligned to the screw as shown in the red circle. Slide the holder all the way back to the aligning screw as shown in step 4 above. Ensure that it is locked by trying to rotate the holder.</w:t>
      </w:r>
    </w:p>
    <w:p w14:paraId="571D44D9" w14:textId="0C35ADCD" w:rsidR="007B0098" w:rsidRDefault="007B0098" w:rsidP="007B0098">
      <w:pPr>
        <w:pStyle w:val="011Subsection"/>
      </w:pPr>
      <w:r w:rsidRPr="007B0098">
        <w:t xml:space="preserve">For the </w:t>
      </w:r>
      <w:r w:rsidRPr="007B0098">
        <w:t>65mm</w:t>
      </w:r>
      <w:r w:rsidRPr="007B0098">
        <w:t xml:space="preserve"> holder, look through the side viewport and confirm that the arm forks are in the slot of the holder (like image A) and not just sitting on top (like image B).</w:t>
      </w:r>
      <w:r>
        <w:t xml:space="preserve"> Also ensure that it is locked on the aligning screw by trying to rotate the holder.</w:t>
      </w:r>
    </w:p>
    <w:p w14:paraId="18E71645" w14:textId="77777777" w:rsidR="007B0098" w:rsidRDefault="007B0098" w:rsidP="007B0098">
      <w:pPr>
        <w:pStyle w:val="Default"/>
        <w:spacing w:after="240"/>
        <w:jc w:val="center"/>
      </w:pPr>
      <w:r>
        <w:rPr>
          <w:noProof/>
        </w:rPr>
        <w:drawing>
          <wp:inline distT="0" distB="0" distL="0" distR="0" wp14:anchorId="624C040E" wp14:editId="7B572996">
            <wp:extent cx="5316220" cy="1835150"/>
            <wp:effectExtent l="0" t="0" r="0" b="0"/>
            <wp:docPr id="751601007" name="Picture 751601007" descr="Photo showing 60mm holder in the correct and incorrect positions on th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01007" name="Picture 751601007" descr="Photo showing 60mm holder in the correct and incorrect positions on the a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6220" cy="1835150"/>
                    </a:xfrm>
                    <a:prstGeom prst="rect">
                      <a:avLst/>
                    </a:prstGeom>
                    <a:noFill/>
                  </pic:spPr>
                </pic:pic>
              </a:graphicData>
            </a:graphic>
          </wp:inline>
        </w:drawing>
      </w:r>
    </w:p>
    <w:p w14:paraId="744E1BF2" w14:textId="77777777" w:rsidR="007B0098" w:rsidRDefault="007B0098" w:rsidP="007B0098">
      <w:pPr>
        <w:pStyle w:val="011Subsection"/>
      </w:pPr>
      <w:r>
        <w:t>Leave the cover off and click the ‘Intro’ button.</w:t>
      </w:r>
    </w:p>
    <w:p w14:paraId="73930CAB" w14:textId="77777777" w:rsidR="007B0098" w:rsidRDefault="007B0098" w:rsidP="007B0098">
      <w:pPr>
        <w:pStyle w:val="Default"/>
        <w:spacing w:after="240"/>
        <w:ind w:left="792"/>
        <w:jc w:val="center"/>
      </w:pPr>
      <w:r>
        <w:rPr>
          <w:noProof/>
        </w:rPr>
        <w:drawing>
          <wp:inline distT="0" distB="0" distL="0" distR="0" wp14:anchorId="72218D44" wp14:editId="56136B0D">
            <wp:extent cx="1325970" cy="984250"/>
            <wp:effectExtent l="0" t="0" r="0" b="0"/>
            <wp:docPr id="13" name="Picture 13" descr="A screenshot of the transfer samp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transfer sample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1593" cy="988424"/>
                    </a:xfrm>
                    <a:prstGeom prst="rect">
                      <a:avLst/>
                    </a:prstGeom>
                    <a:noFill/>
                  </pic:spPr>
                </pic:pic>
              </a:graphicData>
            </a:graphic>
          </wp:inline>
        </w:drawing>
      </w:r>
    </w:p>
    <w:p w14:paraId="6B5A02C4" w14:textId="77777777" w:rsidR="007B0098" w:rsidRDefault="007B0098" w:rsidP="007B0098">
      <w:pPr>
        <w:pStyle w:val="011Subsection"/>
      </w:pPr>
      <w:r>
        <w:lastRenderedPageBreak/>
        <w:t>Click OK for the</w:t>
      </w:r>
      <w:r w:rsidRPr="005C5319">
        <w:t xml:space="preserve"> dialogue box. The Intro camera will take a photo</w:t>
      </w:r>
      <w:r>
        <w:t>.</w:t>
      </w:r>
    </w:p>
    <w:p w14:paraId="772902C6" w14:textId="77777777" w:rsidR="007B0098" w:rsidRDefault="007B0098" w:rsidP="007B0098">
      <w:pPr>
        <w:pStyle w:val="011Subsection"/>
      </w:pPr>
      <w:r w:rsidRPr="005C5319">
        <w:t xml:space="preserve">Put the Intro lid </w:t>
      </w:r>
      <w:r>
        <w:t xml:space="preserve">back </w:t>
      </w:r>
      <w:r w:rsidRPr="005C5319">
        <w:t>on</w:t>
      </w:r>
      <w:r>
        <w:t>,</w:t>
      </w:r>
      <w:r w:rsidRPr="005C5319">
        <w:t xml:space="preserve"> then cli</w:t>
      </w:r>
      <w:r>
        <w:t>ck OK in the</w:t>
      </w:r>
      <w:r w:rsidRPr="005C5319">
        <w:t xml:space="preserve"> dialog box to start pumping.</w:t>
      </w:r>
    </w:p>
    <w:p w14:paraId="7B5C6395" w14:textId="61E1261C" w:rsidR="007B0098" w:rsidRDefault="007B0098" w:rsidP="007B0098">
      <w:pPr>
        <w:pStyle w:val="011Subsection"/>
      </w:pPr>
      <w:r w:rsidRPr="005C5319">
        <w:t xml:space="preserve">After </w:t>
      </w:r>
      <w:r>
        <w:t>reaching the set pressure, another dialog box will open. Click OK and</w:t>
      </w:r>
      <w:r w:rsidRPr="005C5319">
        <w:t xml:space="preserve"> the stage moves to the transfer positio</w:t>
      </w:r>
      <w:r>
        <w:t>n and V1 opens then the dialog</w:t>
      </w:r>
      <w:r w:rsidRPr="005C5319">
        <w:t xml:space="preserve"> box below will open. </w:t>
      </w:r>
    </w:p>
    <w:p w14:paraId="22653C7F" w14:textId="77777777" w:rsidR="007B0098" w:rsidRDefault="007B0098" w:rsidP="007B0098">
      <w:pPr>
        <w:pStyle w:val="011Subsection"/>
        <w:numPr>
          <w:ilvl w:val="3"/>
          <w:numId w:val="7"/>
        </w:numPr>
      </w:pPr>
      <w:r w:rsidRPr="005C5319">
        <w:t xml:space="preserve">Watch inside the analysis chamber through the view port while slowly pushing the Transfer rod </w:t>
      </w:r>
      <w:r>
        <w:t xml:space="preserve">(red box) </w:t>
      </w:r>
      <w:r w:rsidRPr="005C5319">
        <w:t xml:space="preserve">into the chamber until </w:t>
      </w:r>
      <w:r w:rsidRPr="005C5319">
        <w:rPr>
          <w:b/>
          <w:u w:val="single"/>
        </w:rPr>
        <w:t>you hit the stop collar</w:t>
      </w:r>
      <w:r>
        <w:t xml:space="preserve"> (red circle). </w:t>
      </w:r>
    </w:p>
    <w:p w14:paraId="20CEA73C" w14:textId="77777777" w:rsidR="007B0098" w:rsidRDefault="007B0098" w:rsidP="007B0098">
      <w:pPr>
        <w:pStyle w:val="011Subsection"/>
        <w:numPr>
          <w:ilvl w:val="3"/>
          <w:numId w:val="7"/>
        </w:numPr>
      </w:pPr>
      <w:r w:rsidRPr="005C5319">
        <w:t xml:space="preserve">You can now click </w:t>
      </w:r>
      <w:proofErr w:type="gramStart"/>
      <w:r w:rsidRPr="005C5319">
        <w:t>OK</w:t>
      </w:r>
      <w:proofErr w:type="gramEnd"/>
      <w:r w:rsidRPr="005C5319">
        <w:t xml:space="preserve"> and the stage will move up to dock with the</w:t>
      </w:r>
      <w:r>
        <w:t xml:space="preserve"> </w:t>
      </w:r>
      <w:r w:rsidRPr="005C5319">
        <w:t>sample</w:t>
      </w:r>
      <w:r>
        <w:t>.</w:t>
      </w:r>
    </w:p>
    <w:p w14:paraId="32F26D22" w14:textId="77777777" w:rsidR="007B0098" w:rsidRDefault="007B0098" w:rsidP="007B0098">
      <w:pPr>
        <w:pStyle w:val="Default"/>
        <w:spacing w:after="240"/>
        <w:ind w:left="792"/>
      </w:pPr>
      <w:r>
        <w:rPr>
          <w:noProof/>
        </w:rPr>
        <w:drawing>
          <wp:inline distT="0" distB="0" distL="0" distR="0" wp14:anchorId="7421E995" wp14:editId="314E2B3A">
            <wp:extent cx="4810125" cy="3076575"/>
            <wp:effectExtent l="0" t="0" r="9525" b="9525"/>
            <wp:docPr id="14" name="Picture 14" descr="Image showing proper position for the load arm in the loade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ing proper position for the load arm in the loaded position"/>
                    <pic:cNvPicPr/>
                  </pic:nvPicPr>
                  <pic:blipFill>
                    <a:blip r:embed="rId18"/>
                    <a:stretch>
                      <a:fillRect/>
                    </a:stretch>
                  </pic:blipFill>
                  <pic:spPr>
                    <a:xfrm>
                      <a:off x="0" y="0"/>
                      <a:ext cx="4810125" cy="3076575"/>
                    </a:xfrm>
                    <a:prstGeom prst="rect">
                      <a:avLst/>
                    </a:prstGeom>
                  </pic:spPr>
                </pic:pic>
              </a:graphicData>
            </a:graphic>
          </wp:inline>
        </w:drawing>
      </w:r>
    </w:p>
    <w:p w14:paraId="19517E02" w14:textId="468BB6CF" w:rsidR="007B0098" w:rsidRDefault="007B0098" w:rsidP="004F17B0">
      <w:pPr>
        <w:pStyle w:val="011Subsection"/>
      </w:pPr>
      <w:r w:rsidRPr="005C5319">
        <w:t>Watching through the viewing port, slowly pull the intro rod back completely.</w:t>
      </w:r>
      <w:r>
        <w:t xml:space="preserve"> </w:t>
      </w:r>
      <w:r w:rsidRPr="005C5319">
        <w:t xml:space="preserve">V1 should close automatically when the rod is completely withdrawn. </w:t>
      </w:r>
    </w:p>
    <w:p w14:paraId="665BBF3B" w14:textId="77777777" w:rsidR="007B0098" w:rsidRDefault="007B0098" w:rsidP="004F17B0">
      <w:pPr>
        <w:pStyle w:val="ListParagraph"/>
        <w:numPr>
          <w:ilvl w:val="0"/>
          <w:numId w:val="82"/>
        </w:numPr>
        <w:ind w:left="1800"/>
        <w:rPr>
          <w:rFonts w:ascii="Lexend" w:hAnsi="Lexend"/>
        </w:rPr>
      </w:pPr>
      <w:r w:rsidRPr="004F17B0">
        <w:rPr>
          <w:rFonts w:ascii="Lexend" w:hAnsi="Lexend"/>
        </w:rPr>
        <w:t>If you see that the sample is moving back with the arm, then push it all the way back in and try pulling out again.</w:t>
      </w:r>
    </w:p>
    <w:p w14:paraId="6E7A3838" w14:textId="77777777" w:rsidR="004F17B0" w:rsidRPr="004F17B0" w:rsidRDefault="004F17B0" w:rsidP="004F17B0">
      <w:pPr>
        <w:pStyle w:val="ListParagraph"/>
        <w:ind w:left="1800"/>
        <w:rPr>
          <w:rFonts w:ascii="Lexend" w:hAnsi="Lexend"/>
        </w:rPr>
      </w:pPr>
    </w:p>
    <w:p w14:paraId="4F1FC634" w14:textId="11038DF0" w:rsidR="004F17B0" w:rsidRDefault="004F17B0" w:rsidP="004F17B0">
      <w:pPr>
        <w:pStyle w:val="011Subsection"/>
      </w:pPr>
      <w:r w:rsidRPr="005C5319">
        <w:t>Click the O</w:t>
      </w:r>
      <w:r>
        <w:t>K button in the message dialog</w:t>
      </w:r>
      <w:r w:rsidRPr="005C5319">
        <w:t xml:space="preserve"> to center the stage.</w:t>
      </w:r>
    </w:p>
    <w:p w14:paraId="66E0237B" w14:textId="2B56ABBA" w:rsidR="004F17B0" w:rsidRPr="00DF6AB7" w:rsidRDefault="004F17B0" w:rsidP="00DF6AB7">
      <w:pPr>
        <w:pStyle w:val="01Subsection"/>
      </w:pPr>
      <w:bookmarkStart w:id="10" w:name="_Toc221025482"/>
      <w:r>
        <w:t>Sample Set-up</w:t>
      </w:r>
      <w:bookmarkEnd w:id="10"/>
    </w:p>
    <w:p w14:paraId="3FBE10E8" w14:textId="77777777" w:rsidR="004F17B0" w:rsidRDefault="004F17B0" w:rsidP="004F17B0">
      <w:pPr>
        <w:pStyle w:val="011Subsection"/>
      </w:pPr>
      <w:r>
        <w:t>Go to the ‘Sample’ session tab and click on the ‘Z-align’ application tab.</w:t>
      </w:r>
    </w:p>
    <w:p w14:paraId="799B6B58" w14:textId="77777777" w:rsidR="004F17B0" w:rsidRDefault="004F17B0" w:rsidP="004F17B0">
      <w:pPr>
        <w:pStyle w:val="011Subsection"/>
      </w:pPr>
      <w:r>
        <w:t>In the left region of the screen, you will see the photograph of the sample holder taken during the intro step. Place the cursor on a location you would like to analyze and right click on the mouse. Select ‘Create point’ from the menu.</w:t>
      </w:r>
    </w:p>
    <w:p w14:paraId="5A7211B8" w14:textId="77777777" w:rsidR="004F17B0" w:rsidRDefault="004F17B0" w:rsidP="004F17B0">
      <w:pPr>
        <w:pStyle w:val="Default"/>
        <w:spacing w:after="240"/>
        <w:ind w:left="792"/>
        <w:jc w:val="center"/>
      </w:pPr>
      <w:r>
        <w:rPr>
          <w:noProof/>
        </w:rPr>
        <w:lastRenderedPageBreak/>
        <w:drawing>
          <wp:inline distT="0" distB="0" distL="0" distR="0" wp14:anchorId="22EE492C" wp14:editId="211F0767">
            <wp:extent cx="2720754" cy="2924175"/>
            <wp:effectExtent l="0" t="0" r="0" b="0"/>
            <wp:docPr id="817015943" name="Picture 817015943" descr="A screenshot of the create samp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15943" name="Picture 817015943" descr="A screenshot of the create sample wind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674" cy="2930538"/>
                    </a:xfrm>
                    <a:prstGeom prst="rect">
                      <a:avLst/>
                    </a:prstGeom>
                    <a:noFill/>
                  </pic:spPr>
                </pic:pic>
              </a:graphicData>
            </a:graphic>
          </wp:inline>
        </w:drawing>
      </w:r>
    </w:p>
    <w:p w14:paraId="651E9855" w14:textId="77777777" w:rsidR="004F17B0" w:rsidRDefault="004F17B0" w:rsidP="004F17B0">
      <w:pPr>
        <w:pStyle w:val="011Subsection"/>
      </w:pPr>
      <w:r>
        <w:t>Measurement locations will be added to the table at the bottom. Repeat the process for other locations.</w:t>
      </w:r>
    </w:p>
    <w:p w14:paraId="61C6E292" w14:textId="77777777" w:rsidR="004F17B0" w:rsidRPr="004F17B0" w:rsidRDefault="004F17B0" w:rsidP="004F17B0">
      <w:pPr>
        <w:pStyle w:val="011Subsection"/>
      </w:pPr>
      <w:r w:rsidRPr="004F17B0">
        <w:t>Z-alignment</w:t>
      </w:r>
    </w:p>
    <w:p w14:paraId="25EEF83F" w14:textId="77777777" w:rsidR="004F17B0" w:rsidRPr="004F17B0" w:rsidRDefault="004F17B0" w:rsidP="004F17B0">
      <w:pPr>
        <w:pStyle w:val="ListParagraph"/>
        <w:numPr>
          <w:ilvl w:val="0"/>
          <w:numId w:val="81"/>
        </w:numPr>
        <w:ind w:left="2160"/>
        <w:rPr>
          <w:rFonts w:ascii="Lexend" w:hAnsi="Lexend"/>
        </w:rPr>
      </w:pPr>
      <w:r w:rsidRPr="004F17B0">
        <w:rPr>
          <w:rFonts w:ascii="Lexend" w:hAnsi="Lexend"/>
        </w:rPr>
        <w:t xml:space="preserve">De-select </w:t>
      </w:r>
      <w:proofErr w:type="gramStart"/>
      <w:r w:rsidRPr="004F17B0">
        <w:rPr>
          <w:rFonts w:ascii="Lexend" w:hAnsi="Lexend"/>
        </w:rPr>
        <w:t>all of</w:t>
      </w:r>
      <w:proofErr w:type="gramEnd"/>
      <w:r w:rsidRPr="004F17B0">
        <w:rPr>
          <w:rFonts w:ascii="Lexend" w:hAnsi="Lexend"/>
        </w:rPr>
        <w:t xml:space="preserve"> the check marks in the ‘Active’ column on the list except for one.</w:t>
      </w:r>
    </w:p>
    <w:p w14:paraId="5BB6505E" w14:textId="77777777" w:rsidR="004F17B0" w:rsidRPr="004F17B0" w:rsidRDefault="004F17B0" w:rsidP="004F17B0">
      <w:pPr>
        <w:pStyle w:val="ListParagraph"/>
        <w:numPr>
          <w:ilvl w:val="0"/>
          <w:numId w:val="81"/>
        </w:numPr>
        <w:ind w:left="2160"/>
        <w:rPr>
          <w:rFonts w:ascii="Lexend" w:hAnsi="Lexend"/>
        </w:rPr>
      </w:pPr>
      <w:r w:rsidRPr="004F17B0">
        <w:rPr>
          <w:rFonts w:ascii="Lexend" w:hAnsi="Lexend"/>
        </w:rPr>
        <w:t>Press the ‘Drive to position’ button</w:t>
      </w:r>
    </w:p>
    <w:p w14:paraId="7C360AEC" w14:textId="77777777" w:rsidR="004F17B0" w:rsidRPr="004F17B0" w:rsidRDefault="004F17B0" w:rsidP="004F17B0">
      <w:pPr>
        <w:pStyle w:val="ListParagraph"/>
        <w:numPr>
          <w:ilvl w:val="0"/>
          <w:numId w:val="81"/>
        </w:numPr>
        <w:ind w:left="2160"/>
        <w:rPr>
          <w:rFonts w:ascii="Lexend" w:hAnsi="Lexend"/>
        </w:rPr>
      </w:pPr>
      <w:r w:rsidRPr="004F17B0">
        <w:rPr>
          <w:rFonts w:ascii="Lexend" w:hAnsi="Lexend"/>
        </w:rPr>
        <w:t>Press the ‘Properties’ button near the Z-align tab and graph window will appear.</w:t>
      </w:r>
    </w:p>
    <w:p w14:paraId="404E0BB3" w14:textId="77777777" w:rsidR="004F17B0" w:rsidRDefault="004F17B0" w:rsidP="004F17B0">
      <w:pPr>
        <w:pStyle w:val="ListParagraph"/>
        <w:numPr>
          <w:ilvl w:val="0"/>
          <w:numId w:val="81"/>
        </w:numPr>
        <w:ind w:left="2160"/>
        <w:rPr>
          <w:rFonts w:ascii="Lexend" w:hAnsi="Lexend"/>
        </w:rPr>
      </w:pPr>
      <w:r w:rsidRPr="004F17B0">
        <w:rPr>
          <w:rFonts w:ascii="Lexend" w:hAnsi="Lexend"/>
        </w:rPr>
        <w:t>Press the ‘Z-align’ button.</w:t>
      </w:r>
    </w:p>
    <w:p w14:paraId="27F27CD5" w14:textId="77777777" w:rsidR="004F17B0" w:rsidRPr="004F17B0" w:rsidRDefault="004F17B0" w:rsidP="004F17B0">
      <w:pPr>
        <w:pStyle w:val="ListParagraph"/>
        <w:ind w:left="2160"/>
        <w:rPr>
          <w:rFonts w:ascii="Lexend" w:hAnsi="Lexend"/>
        </w:rPr>
      </w:pPr>
    </w:p>
    <w:p w14:paraId="0D23B78F" w14:textId="77777777" w:rsidR="004F17B0" w:rsidRDefault="004F17B0" w:rsidP="004F17B0">
      <w:pPr>
        <w:pStyle w:val="Default"/>
        <w:spacing w:after="240"/>
        <w:ind w:left="720"/>
        <w:jc w:val="center"/>
      </w:pPr>
      <w:r>
        <w:rPr>
          <w:noProof/>
        </w:rPr>
        <w:drawing>
          <wp:inline distT="0" distB="0" distL="0" distR="0" wp14:anchorId="21D40749" wp14:editId="2918ED49">
            <wp:extent cx="2696915" cy="866775"/>
            <wp:effectExtent l="0" t="0" r="0" b="0"/>
            <wp:docPr id="17" name="Picture 17" descr="Screenshot of the z-alig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z-align butt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8928" cy="870636"/>
                    </a:xfrm>
                    <a:prstGeom prst="rect">
                      <a:avLst/>
                    </a:prstGeom>
                    <a:noFill/>
                  </pic:spPr>
                </pic:pic>
              </a:graphicData>
            </a:graphic>
          </wp:inline>
        </w:drawing>
      </w:r>
    </w:p>
    <w:p w14:paraId="2E45A126" w14:textId="77777777" w:rsidR="004F17B0" w:rsidRDefault="004F17B0" w:rsidP="004F17B0">
      <w:pPr>
        <w:pStyle w:val="011Subsection"/>
      </w:pPr>
      <w:r>
        <w:t>Ensure that the alignment was able to find the peak (green line passes through the peak) as shown below. It sometimes fails, so just press the ‘Z-align’ button again if it does.</w:t>
      </w:r>
    </w:p>
    <w:p w14:paraId="4043EB1F" w14:textId="77777777" w:rsidR="004F17B0" w:rsidRDefault="004F17B0" w:rsidP="004F17B0">
      <w:pPr>
        <w:pStyle w:val="Default"/>
        <w:spacing w:after="240"/>
        <w:ind w:left="720"/>
        <w:jc w:val="center"/>
      </w:pPr>
      <w:r>
        <w:rPr>
          <w:noProof/>
        </w:rPr>
        <w:lastRenderedPageBreak/>
        <w:drawing>
          <wp:inline distT="0" distB="0" distL="0" distR="0" wp14:anchorId="4AC46E96" wp14:editId="186807DD">
            <wp:extent cx="4017645" cy="2481580"/>
            <wp:effectExtent l="0" t="0" r="0" b="0"/>
            <wp:docPr id="18" name="Picture 18" descr="Screenshot of the graph generated during height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graph generated during height align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7645" cy="2481580"/>
                    </a:xfrm>
                    <a:prstGeom prst="rect">
                      <a:avLst/>
                    </a:prstGeom>
                    <a:noFill/>
                  </pic:spPr>
                </pic:pic>
              </a:graphicData>
            </a:graphic>
          </wp:inline>
        </w:drawing>
      </w:r>
    </w:p>
    <w:p w14:paraId="089FE692" w14:textId="77777777" w:rsidR="004F17B0" w:rsidRDefault="004F17B0" w:rsidP="004F17B0">
      <w:pPr>
        <w:pStyle w:val="011Subsection"/>
      </w:pPr>
      <w:r>
        <w:t>Press the ‘Update position’ button to save the new aligned position.</w:t>
      </w:r>
    </w:p>
    <w:p w14:paraId="795D2E80" w14:textId="77777777" w:rsidR="004F17B0" w:rsidRDefault="004F17B0" w:rsidP="004F17B0">
      <w:pPr>
        <w:pStyle w:val="Default"/>
        <w:spacing w:after="240"/>
        <w:jc w:val="center"/>
      </w:pPr>
      <w:r w:rsidRPr="00083FF0">
        <w:rPr>
          <w:noProof/>
        </w:rPr>
        <w:drawing>
          <wp:inline distT="0" distB="0" distL="0" distR="0" wp14:anchorId="02D9F968" wp14:editId="32BE24EA">
            <wp:extent cx="3019425" cy="942975"/>
            <wp:effectExtent l="0" t="0" r="0" b="0"/>
            <wp:docPr id="1990937911" name="Picture 1990937911" descr="A screenshot showing the update position, and drive to posi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37911" name="Picture 1990937911" descr="A screenshot showing the update position, and drive to position buttons"/>
                    <pic:cNvPicPr/>
                  </pic:nvPicPr>
                  <pic:blipFill rotWithShape="1">
                    <a:blip r:embed="rId22"/>
                    <a:srcRect r="44965"/>
                    <a:stretch/>
                  </pic:blipFill>
                  <pic:spPr bwMode="auto">
                    <a:xfrm>
                      <a:off x="0" y="0"/>
                      <a:ext cx="3019425" cy="942975"/>
                    </a:xfrm>
                    <a:prstGeom prst="rect">
                      <a:avLst/>
                    </a:prstGeom>
                    <a:ln>
                      <a:noFill/>
                    </a:ln>
                    <a:extLst>
                      <a:ext uri="{53640926-AAD7-44D8-BBD7-CCE9431645EC}">
                        <a14:shadowObscured xmlns:a14="http://schemas.microsoft.com/office/drawing/2010/main"/>
                      </a:ext>
                    </a:extLst>
                  </pic:spPr>
                </pic:pic>
              </a:graphicData>
            </a:graphic>
          </wp:inline>
        </w:drawing>
      </w:r>
    </w:p>
    <w:p w14:paraId="7F17985A" w14:textId="06CDDEF0" w:rsidR="00C46D4B" w:rsidRPr="00C46D4B" w:rsidRDefault="004F17B0" w:rsidP="004F17B0">
      <w:pPr>
        <w:pStyle w:val="011Subsection"/>
      </w:pPr>
      <w:r>
        <w:t>Repeat for all other locations.</w:t>
      </w:r>
    </w:p>
    <w:p w14:paraId="063C0D6D" w14:textId="68C5B0EA" w:rsidR="004F17B0" w:rsidRDefault="004F17B0" w:rsidP="004F17B0">
      <w:pPr>
        <w:pStyle w:val="01Subsection"/>
      </w:pPr>
      <w:bookmarkStart w:id="11" w:name="_Toc221025483"/>
      <w:r>
        <w:t xml:space="preserve">Collecting </w:t>
      </w:r>
      <w:r>
        <w:t>XPS Spectrum</w:t>
      </w:r>
      <w:bookmarkEnd w:id="11"/>
    </w:p>
    <w:p w14:paraId="48DBD4BB" w14:textId="77777777" w:rsidR="004F17B0" w:rsidRDefault="004F17B0" w:rsidP="004F17B0">
      <w:pPr>
        <w:pStyle w:val="011Subsection"/>
      </w:pPr>
      <w:r>
        <w:t>Go to the ‘XPS’ session tab and then the ‘Spectrum’ application tab.</w:t>
      </w:r>
    </w:p>
    <w:p w14:paraId="347CE460" w14:textId="77777777" w:rsidR="004F17B0" w:rsidRDefault="004F17B0" w:rsidP="004F17B0">
      <w:pPr>
        <w:pStyle w:val="011Subsection"/>
      </w:pPr>
      <w:r>
        <w:t>Choose the Xray Setting from the drop-down menu that fits your analysis area and application</w:t>
      </w:r>
    </w:p>
    <w:p w14:paraId="00F9E077" w14:textId="61D7145D" w:rsidR="004F17B0" w:rsidRDefault="004F17B0" w:rsidP="004F17B0">
      <w:pPr>
        <w:pStyle w:val="011Subsection"/>
      </w:pPr>
      <w:r>
        <w:t>There are two modes to be used for analysis, Survey or Multiplex.</w:t>
      </w:r>
    </w:p>
    <w:p w14:paraId="0D24E018" w14:textId="77777777" w:rsidR="004F17B0" w:rsidRPr="004F17B0" w:rsidRDefault="004F17B0" w:rsidP="004F17B0">
      <w:pPr>
        <w:pStyle w:val="ListParagraph"/>
        <w:numPr>
          <w:ilvl w:val="0"/>
          <w:numId w:val="82"/>
        </w:numPr>
        <w:ind w:left="1800"/>
        <w:rPr>
          <w:rFonts w:ascii="Lexend" w:hAnsi="Lexend"/>
        </w:rPr>
      </w:pPr>
      <w:r w:rsidRPr="004F17B0">
        <w:rPr>
          <w:rFonts w:ascii="Lexend" w:hAnsi="Lexend"/>
        </w:rPr>
        <w:t>Survey - used for surface qualitative analysis (i.e. what elements are present)</w:t>
      </w:r>
    </w:p>
    <w:p w14:paraId="5AB5A84C" w14:textId="77777777" w:rsidR="004F17B0" w:rsidRDefault="004F17B0" w:rsidP="004F17B0">
      <w:pPr>
        <w:pStyle w:val="ListParagraph"/>
        <w:numPr>
          <w:ilvl w:val="0"/>
          <w:numId w:val="82"/>
        </w:numPr>
        <w:ind w:left="1800"/>
        <w:rPr>
          <w:rFonts w:ascii="Lexend" w:hAnsi="Lexend"/>
        </w:rPr>
      </w:pPr>
      <w:r w:rsidRPr="004F17B0">
        <w:rPr>
          <w:rFonts w:ascii="Lexend" w:hAnsi="Lexend"/>
        </w:rPr>
        <w:t>Multiplex – used for quantitative or chemical state analysis</w:t>
      </w:r>
    </w:p>
    <w:p w14:paraId="467F5506" w14:textId="77777777" w:rsidR="004F17B0" w:rsidRPr="004F17B0" w:rsidRDefault="004F17B0" w:rsidP="004F17B0">
      <w:pPr>
        <w:pStyle w:val="ListParagraph"/>
        <w:ind w:left="1800"/>
        <w:rPr>
          <w:rFonts w:ascii="Lexend" w:hAnsi="Lexend"/>
        </w:rPr>
      </w:pPr>
    </w:p>
    <w:p w14:paraId="06065E11" w14:textId="77777777" w:rsidR="004F17B0" w:rsidRDefault="004F17B0" w:rsidP="004F17B0">
      <w:pPr>
        <w:pStyle w:val="011Subsection"/>
      </w:pPr>
      <w:r>
        <w:t>There are two ways to set up the survey and multiplex analysis regions.</w:t>
      </w:r>
    </w:p>
    <w:p w14:paraId="494DD55D" w14:textId="77777777" w:rsidR="003F2329" w:rsidRPr="003F2329" w:rsidRDefault="003F2329" w:rsidP="003F2329">
      <w:pPr>
        <w:pStyle w:val="ListParagraph"/>
        <w:numPr>
          <w:ilvl w:val="0"/>
          <w:numId w:val="84"/>
        </w:numPr>
        <w:spacing w:after="240"/>
        <w:contextualSpacing w:val="0"/>
        <w:rPr>
          <w:rFonts w:ascii="Lexend" w:hAnsi="Lexend"/>
        </w:rPr>
      </w:pPr>
      <w:r w:rsidRPr="003F2329">
        <w:rPr>
          <w:rFonts w:ascii="Lexend" w:hAnsi="Lexend"/>
        </w:rPr>
        <w:t>Go to the “regions” area of the screen and click on the periodic table</w:t>
      </w:r>
    </w:p>
    <w:p w14:paraId="49FF2F6B" w14:textId="77777777" w:rsidR="003F2329" w:rsidRPr="003F2329" w:rsidRDefault="003F2329" w:rsidP="003F2329">
      <w:pPr>
        <w:pStyle w:val="ListParagraph"/>
        <w:numPr>
          <w:ilvl w:val="0"/>
          <w:numId w:val="85"/>
        </w:numPr>
        <w:spacing w:after="240"/>
        <w:contextualSpacing w:val="0"/>
        <w:rPr>
          <w:rFonts w:ascii="Lexend" w:hAnsi="Lexend"/>
        </w:rPr>
      </w:pPr>
      <w:r w:rsidRPr="003F2329">
        <w:rPr>
          <w:rFonts w:ascii="Lexend" w:hAnsi="Lexend"/>
        </w:rPr>
        <w:t>On the new periodic table, click the ‘Acquisition setup’ tab.</w:t>
      </w:r>
    </w:p>
    <w:p w14:paraId="5DCB0585" w14:textId="77777777" w:rsidR="003F2329" w:rsidRPr="003F2329" w:rsidRDefault="003F2329" w:rsidP="003F2329">
      <w:pPr>
        <w:pStyle w:val="ListParagraph"/>
        <w:numPr>
          <w:ilvl w:val="0"/>
          <w:numId w:val="85"/>
        </w:numPr>
        <w:spacing w:after="240"/>
        <w:contextualSpacing w:val="0"/>
        <w:rPr>
          <w:rFonts w:ascii="Lexend" w:hAnsi="Lexend"/>
        </w:rPr>
      </w:pPr>
      <w:r w:rsidRPr="003F2329">
        <w:rPr>
          <w:rFonts w:ascii="Lexend" w:hAnsi="Lexend"/>
        </w:rPr>
        <w:t>Select “Su” for a survey and select any elements that you wish to analyze</w:t>
      </w:r>
    </w:p>
    <w:p w14:paraId="509F9D80" w14:textId="77777777" w:rsidR="003F2329" w:rsidRPr="003F2329" w:rsidRDefault="003F2329" w:rsidP="003F2329">
      <w:pPr>
        <w:pStyle w:val="ListParagraph"/>
        <w:numPr>
          <w:ilvl w:val="0"/>
          <w:numId w:val="84"/>
        </w:numPr>
        <w:spacing w:after="240"/>
        <w:contextualSpacing w:val="0"/>
        <w:rPr>
          <w:rFonts w:ascii="Lexend" w:hAnsi="Lexend"/>
        </w:rPr>
      </w:pPr>
      <w:r w:rsidRPr="003F2329">
        <w:rPr>
          <w:rFonts w:ascii="Lexend" w:hAnsi="Lexend"/>
        </w:rPr>
        <w:t>Go to the “regions” area of the screen and use the plus/minus buttons to add or subtract region cells</w:t>
      </w:r>
    </w:p>
    <w:p w14:paraId="166A1DB4" w14:textId="77777777" w:rsidR="003F2329" w:rsidRPr="003F2329" w:rsidRDefault="003F2329" w:rsidP="003F2329">
      <w:pPr>
        <w:pStyle w:val="ListParagraph"/>
        <w:numPr>
          <w:ilvl w:val="0"/>
          <w:numId w:val="87"/>
        </w:numPr>
        <w:spacing w:after="240"/>
        <w:contextualSpacing w:val="0"/>
        <w:rPr>
          <w:rFonts w:ascii="Lexend" w:hAnsi="Lexend"/>
        </w:rPr>
      </w:pPr>
      <w:r w:rsidRPr="003F2329">
        <w:rPr>
          <w:rFonts w:ascii="Lexend" w:hAnsi="Lexend"/>
        </w:rPr>
        <w:lastRenderedPageBreak/>
        <w:t>Select the first cell and right click on the mouse, hover over “All elements”, and select “Su” for a survey</w:t>
      </w:r>
    </w:p>
    <w:p w14:paraId="7E50E946" w14:textId="53DF9328" w:rsidR="003F2329" w:rsidRPr="003F2329" w:rsidRDefault="003F2329" w:rsidP="003F2329">
      <w:pPr>
        <w:pStyle w:val="ListParagraph"/>
        <w:numPr>
          <w:ilvl w:val="0"/>
          <w:numId w:val="87"/>
        </w:numPr>
        <w:spacing w:after="240"/>
        <w:contextualSpacing w:val="0"/>
        <w:rPr>
          <w:rFonts w:ascii="Lexend" w:hAnsi="Lexend"/>
        </w:rPr>
      </w:pPr>
      <w:r w:rsidRPr="003F2329">
        <w:rPr>
          <w:rFonts w:ascii="Lexend" w:hAnsi="Lexend"/>
        </w:rPr>
        <w:t>Do the same for all cells but select an element instead of Su</w:t>
      </w:r>
    </w:p>
    <w:p w14:paraId="40756D77" w14:textId="77777777" w:rsidR="004F17B0" w:rsidRDefault="004F17B0" w:rsidP="004F17B0">
      <w:pPr>
        <w:pStyle w:val="Default"/>
        <w:spacing w:after="240"/>
        <w:ind w:left="-450"/>
        <w:jc w:val="center"/>
      </w:pPr>
      <w:r>
        <w:rPr>
          <w:noProof/>
        </w:rPr>
        <w:drawing>
          <wp:inline distT="0" distB="0" distL="0" distR="0" wp14:anchorId="485CF830" wp14:editId="4F7337A8">
            <wp:extent cx="4676775" cy="4316399"/>
            <wp:effectExtent l="0" t="0" r="0" b="0"/>
            <wp:docPr id="35" name="Picture 35" descr="A screenshot showing the analysis setup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showing the analysis setup feat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549" cy="4337418"/>
                    </a:xfrm>
                    <a:prstGeom prst="rect">
                      <a:avLst/>
                    </a:prstGeom>
                    <a:noFill/>
                  </pic:spPr>
                </pic:pic>
              </a:graphicData>
            </a:graphic>
          </wp:inline>
        </w:drawing>
      </w:r>
    </w:p>
    <w:p w14:paraId="73F55015" w14:textId="77777777" w:rsidR="004F17B0" w:rsidRDefault="004F17B0" w:rsidP="003F2329">
      <w:pPr>
        <w:pStyle w:val="011Subsection"/>
      </w:pPr>
      <w:r>
        <w:t xml:space="preserve">You can change the transition to be measured by right clicking on the element and choosing another </w:t>
      </w:r>
      <w:proofErr w:type="spellStart"/>
      <w:r>
        <w:t>transisition</w:t>
      </w:r>
      <w:proofErr w:type="spellEnd"/>
      <w:r>
        <w:t>. For example, you can choose to measure the Si2s or Si2p peaks in the figure below.</w:t>
      </w:r>
    </w:p>
    <w:p w14:paraId="250E3E60" w14:textId="77777777" w:rsidR="004F17B0" w:rsidRDefault="004F17B0" w:rsidP="004F17B0">
      <w:pPr>
        <w:pStyle w:val="Default"/>
        <w:spacing w:after="240"/>
        <w:ind w:left="360"/>
        <w:jc w:val="center"/>
      </w:pPr>
      <w:r w:rsidRPr="000B50B9">
        <w:rPr>
          <w:noProof/>
        </w:rPr>
        <w:drawing>
          <wp:inline distT="0" distB="0" distL="0" distR="0" wp14:anchorId="647D4A77" wp14:editId="216D7147">
            <wp:extent cx="2661559" cy="1143000"/>
            <wp:effectExtent l="0" t="0" r="0" b="0"/>
            <wp:docPr id="9220" name="Picture 4" descr="A screenshot showing the element selection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A screenshot showing the element selection features"/>
                    <pic:cNvPicPr>
                      <a:picLocks noChangeAspect="1" noChangeArrowheads="1"/>
                    </pic:cNvPicPr>
                  </pic:nvPicPr>
                  <pic:blipFill rotWithShape="1">
                    <a:blip r:embed="rId24">
                      <a:extLst>
                        <a:ext uri="{28A0092B-C50C-407E-A947-70E740481C1C}">
                          <a14:useLocalDpi xmlns:a14="http://schemas.microsoft.com/office/drawing/2010/main" val="0"/>
                        </a:ext>
                      </a:extLst>
                    </a:blip>
                    <a:srcRect l="76458" t="52000" r="903" b="32444"/>
                    <a:stretch/>
                  </pic:blipFill>
                  <pic:spPr bwMode="auto">
                    <a:xfrm>
                      <a:off x="0" y="0"/>
                      <a:ext cx="2694174" cy="1157007"/>
                    </a:xfrm>
                    <a:prstGeom prst="rect">
                      <a:avLst/>
                    </a:prstGeom>
                    <a:noFill/>
                    <a:ln>
                      <a:noFill/>
                    </a:ln>
                  </pic:spPr>
                </pic:pic>
              </a:graphicData>
            </a:graphic>
          </wp:inline>
        </w:drawing>
      </w:r>
    </w:p>
    <w:p w14:paraId="2E7BAF62" w14:textId="77777777" w:rsidR="004F17B0" w:rsidRDefault="004F17B0" w:rsidP="003F2329">
      <w:pPr>
        <w:pStyle w:val="011Subsection"/>
      </w:pPr>
      <w:r>
        <w:t>Set the analysis conditions.</w:t>
      </w:r>
    </w:p>
    <w:p w14:paraId="5A041984" w14:textId="77777777" w:rsidR="004F17B0" w:rsidRDefault="004F17B0" w:rsidP="003F2329">
      <w:pPr>
        <w:pStyle w:val="011Subsection"/>
        <w:numPr>
          <w:ilvl w:val="3"/>
          <w:numId w:val="88"/>
        </w:numPr>
        <w:ind w:left="1980"/>
      </w:pPr>
      <w:r>
        <w:t xml:space="preserve">Sweeps – The number of times to scan the energy range of interest. </w:t>
      </w:r>
      <w:proofErr w:type="gramStart"/>
      <w:r>
        <w:t>Typically</w:t>
      </w:r>
      <w:proofErr w:type="gramEnd"/>
      <w:r>
        <w:t xml:space="preserve"> 5-10</w:t>
      </w:r>
    </w:p>
    <w:p w14:paraId="6A53D1C4" w14:textId="77777777" w:rsidR="004F17B0" w:rsidRDefault="004F17B0" w:rsidP="003F2329">
      <w:pPr>
        <w:pStyle w:val="011Subsection"/>
        <w:numPr>
          <w:ilvl w:val="3"/>
          <w:numId w:val="88"/>
        </w:numPr>
        <w:ind w:left="1980"/>
      </w:pPr>
      <w:r>
        <w:t>Set the energy range using the “lower, range, and upper” cells</w:t>
      </w:r>
    </w:p>
    <w:p w14:paraId="2CA32CDD" w14:textId="77777777" w:rsidR="004F17B0" w:rsidRDefault="004F17B0" w:rsidP="003F2329">
      <w:pPr>
        <w:pStyle w:val="011Subsection"/>
        <w:numPr>
          <w:ilvl w:val="3"/>
          <w:numId w:val="88"/>
        </w:numPr>
        <w:ind w:left="1980"/>
      </w:pPr>
      <w:r>
        <w:lastRenderedPageBreak/>
        <w:t>Pass energy – Typically 93 or greater for survey, and 23.5 for multiplex. A higher number provides good signal to noise for qualitative analysis and lower numbers provide better resolution for chemical state analysis (at the cost of lower counts).</w:t>
      </w:r>
    </w:p>
    <w:p w14:paraId="0AFCD9E7" w14:textId="77777777" w:rsidR="004F17B0" w:rsidRDefault="004F17B0" w:rsidP="003F2329">
      <w:pPr>
        <w:pStyle w:val="011Subsection"/>
        <w:numPr>
          <w:ilvl w:val="3"/>
          <w:numId w:val="88"/>
        </w:numPr>
        <w:ind w:left="1980"/>
      </w:pPr>
      <w:r>
        <w:t xml:space="preserve">Typically keep the defaults for </w:t>
      </w:r>
      <w:proofErr w:type="spellStart"/>
      <w:r>
        <w:t>ev</w:t>
      </w:r>
      <w:proofErr w:type="spellEnd"/>
      <w:r>
        <w:t xml:space="preserve">/step and time per step for </w:t>
      </w:r>
      <w:proofErr w:type="gramStart"/>
      <w:r>
        <w:t>multiplex, and</w:t>
      </w:r>
      <w:proofErr w:type="gramEnd"/>
      <w:r>
        <w:t xml:space="preserve"> make it 0.8ev/step for surveys.</w:t>
      </w:r>
    </w:p>
    <w:p w14:paraId="21402E90" w14:textId="77777777" w:rsidR="004F17B0" w:rsidRDefault="004F17B0" w:rsidP="003F2329">
      <w:pPr>
        <w:pStyle w:val="011Subsection"/>
      </w:pPr>
      <w:r>
        <w:t>Click on the box under “Active” for the survey</w:t>
      </w:r>
    </w:p>
    <w:p w14:paraId="36471445" w14:textId="77777777" w:rsidR="004F17B0" w:rsidRDefault="004F17B0" w:rsidP="003F2329">
      <w:pPr>
        <w:pStyle w:val="011Subsection"/>
      </w:pPr>
      <w:r>
        <w:t>Ensure that charge neutralization is set to automatic.</w:t>
      </w:r>
    </w:p>
    <w:p w14:paraId="5FE15941" w14:textId="77777777" w:rsidR="004F17B0" w:rsidRPr="003F2329" w:rsidRDefault="004F17B0" w:rsidP="003F2329">
      <w:pPr>
        <w:pStyle w:val="ListParagraph"/>
        <w:numPr>
          <w:ilvl w:val="0"/>
          <w:numId w:val="91"/>
        </w:numPr>
        <w:spacing w:before="240"/>
        <w:ind w:left="1987"/>
        <w:contextualSpacing w:val="0"/>
        <w:rPr>
          <w:rFonts w:ascii="Lexend" w:hAnsi="Lexend"/>
        </w:rPr>
      </w:pPr>
      <w:r w:rsidRPr="003F2329">
        <w:rPr>
          <w:rFonts w:ascii="Lexend" w:hAnsi="Lexend"/>
        </w:rPr>
        <w:t>Click on the ‘XPS setup” button.</w:t>
      </w:r>
    </w:p>
    <w:p w14:paraId="632A09AC" w14:textId="77777777" w:rsidR="004F17B0" w:rsidRPr="003F2329" w:rsidRDefault="004F17B0" w:rsidP="003F2329">
      <w:pPr>
        <w:pStyle w:val="ListParagraph"/>
        <w:numPr>
          <w:ilvl w:val="0"/>
          <w:numId w:val="91"/>
        </w:numPr>
        <w:spacing w:before="240"/>
        <w:ind w:left="1987"/>
        <w:contextualSpacing w:val="0"/>
        <w:rPr>
          <w:rFonts w:ascii="Lexend" w:hAnsi="Lexend"/>
        </w:rPr>
      </w:pPr>
      <w:r w:rsidRPr="003F2329">
        <w:rPr>
          <w:rFonts w:ascii="Lexend" w:hAnsi="Lexend"/>
        </w:rPr>
        <w:t>Click on “Auto” for both E-neutralization and Ion gun.</w:t>
      </w:r>
    </w:p>
    <w:p w14:paraId="5EC1FD60" w14:textId="77777777" w:rsidR="004F17B0" w:rsidRDefault="004F17B0" w:rsidP="004F17B0">
      <w:pPr>
        <w:pStyle w:val="Default"/>
        <w:spacing w:after="240"/>
        <w:ind w:left="1224"/>
        <w:jc w:val="center"/>
      </w:pPr>
      <w:r w:rsidRPr="0033204C">
        <w:rPr>
          <w:noProof/>
        </w:rPr>
        <w:drawing>
          <wp:inline distT="0" distB="0" distL="0" distR="0" wp14:anchorId="246BB4F2" wp14:editId="43A4F871">
            <wp:extent cx="2393343" cy="1934843"/>
            <wp:effectExtent l="0" t="0" r="6985" b="8890"/>
            <wp:docPr id="2" name="Picture 2" descr="A screenshot showing that automatic neutralization i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showing that automatic neutralization is active"/>
                    <pic:cNvPicPr>
                      <a:picLocks noChangeAspect="1" noChangeArrowheads="1"/>
                    </pic:cNvPicPr>
                  </pic:nvPicPr>
                  <pic:blipFill rotWithShape="1">
                    <a:blip r:embed="rId25">
                      <a:extLst>
                        <a:ext uri="{28A0092B-C50C-407E-A947-70E740481C1C}">
                          <a14:useLocalDpi xmlns:a14="http://schemas.microsoft.com/office/drawing/2010/main" val="0"/>
                        </a:ext>
                      </a:extLst>
                    </a:blip>
                    <a:srcRect b="65413"/>
                    <a:stretch/>
                  </pic:blipFill>
                  <pic:spPr bwMode="auto">
                    <a:xfrm>
                      <a:off x="0" y="0"/>
                      <a:ext cx="2400340" cy="1940500"/>
                    </a:xfrm>
                    <a:prstGeom prst="rect">
                      <a:avLst/>
                    </a:prstGeom>
                    <a:noFill/>
                    <a:ln>
                      <a:noFill/>
                    </a:ln>
                  </pic:spPr>
                </pic:pic>
              </a:graphicData>
            </a:graphic>
          </wp:inline>
        </w:drawing>
      </w:r>
    </w:p>
    <w:p w14:paraId="5322294F" w14:textId="77777777" w:rsidR="004F17B0" w:rsidRDefault="004F17B0" w:rsidP="004F17B0">
      <w:pPr>
        <w:pStyle w:val="Default"/>
        <w:spacing w:after="240"/>
        <w:ind w:left="1224"/>
        <w:jc w:val="center"/>
      </w:pPr>
    </w:p>
    <w:p w14:paraId="6097A8F1" w14:textId="77777777" w:rsidR="004F17B0" w:rsidRDefault="004F17B0" w:rsidP="003F2329">
      <w:pPr>
        <w:pStyle w:val="011Subsection"/>
      </w:pPr>
      <w:r>
        <w:t xml:space="preserve">A pre-sputter can also be set up in this window to clean of any surface contamination. </w:t>
      </w:r>
    </w:p>
    <w:p w14:paraId="35391F4F" w14:textId="77777777" w:rsidR="004F17B0" w:rsidRDefault="004F17B0" w:rsidP="004F17B0">
      <w:pPr>
        <w:pStyle w:val="Default"/>
        <w:spacing w:after="240"/>
        <w:ind w:left="1224"/>
        <w:jc w:val="center"/>
      </w:pPr>
      <w:r w:rsidRPr="0033204C">
        <w:rPr>
          <w:noProof/>
        </w:rPr>
        <w:drawing>
          <wp:inline distT="0" distB="0" distL="0" distR="0" wp14:anchorId="2E5C1F71" wp14:editId="64ED1AAB">
            <wp:extent cx="2433099" cy="1111773"/>
            <wp:effectExtent l="0" t="0" r="5715" b="0"/>
            <wp:docPr id="37" name="Picture 37" descr="A screenshot showing the pre-sput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showing the pre-sputter options"/>
                    <pic:cNvPicPr>
                      <a:picLocks noChangeAspect="1" noChangeArrowheads="1"/>
                    </pic:cNvPicPr>
                  </pic:nvPicPr>
                  <pic:blipFill rotWithShape="1">
                    <a:blip r:embed="rId25">
                      <a:extLst>
                        <a:ext uri="{28A0092B-C50C-407E-A947-70E740481C1C}">
                          <a14:useLocalDpi xmlns:a14="http://schemas.microsoft.com/office/drawing/2010/main" val="0"/>
                        </a:ext>
                      </a:extLst>
                    </a:blip>
                    <a:srcRect t="51129" b="29322"/>
                    <a:stretch/>
                  </pic:blipFill>
                  <pic:spPr bwMode="auto">
                    <a:xfrm>
                      <a:off x="0" y="0"/>
                      <a:ext cx="2448242" cy="1118692"/>
                    </a:xfrm>
                    <a:prstGeom prst="rect">
                      <a:avLst/>
                    </a:prstGeom>
                    <a:noFill/>
                    <a:ln>
                      <a:noFill/>
                    </a:ln>
                  </pic:spPr>
                </pic:pic>
              </a:graphicData>
            </a:graphic>
          </wp:inline>
        </w:drawing>
      </w:r>
    </w:p>
    <w:p w14:paraId="6B72F9E8" w14:textId="05E63B50" w:rsidR="004F17B0" w:rsidRDefault="004F17B0" w:rsidP="003F2329">
      <w:pPr>
        <w:pStyle w:val="011Subsection"/>
      </w:pPr>
      <w:r>
        <w:t>Click ‘Enabled’ and select the Pre</w:t>
      </w:r>
      <w:r w:rsidR="00F81350">
        <w:t>-</w:t>
      </w:r>
      <w:r>
        <w:t>sputter setting from the drop-down menu for a specific removal rate</w:t>
      </w:r>
    </w:p>
    <w:p w14:paraId="763399DD" w14:textId="0941308C" w:rsidR="004F17B0" w:rsidRDefault="00A5335D" w:rsidP="00A5335D">
      <w:pPr>
        <w:pStyle w:val="Default"/>
        <w:spacing w:after="240"/>
        <w:jc w:val="center"/>
      </w:pPr>
      <w:r w:rsidRPr="00A5335D">
        <w:drawing>
          <wp:inline distT="0" distB="0" distL="0" distR="0" wp14:anchorId="24F0102D" wp14:editId="54F1C3D1">
            <wp:extent cx="2154804" cy="1238824"/>
            <wp:effectExtent l="0" t="0" r="0" b="0"/>
            <wp:docPr id="1886220562" name="Picture 1" descr="A table showing the removal rate with different sputter gu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20562" name="Picture 1" descr="A table showing the removal rate with different sputter gun settings"/>
                    <pic:cNvPicPr/>
                  </pic:nvPicPr>
                  <pic:blipFill>
                    <a:blip r:embed="rId26"/>
                    <a:stretch>
                      <a:fillRect/>
                    </a:stretch>
                  </pic:blipFill>
                  <pic:spPr>
                    <a:xfrm>
                      <a:off x="0" y="0"/>
                      <a:ext cx="2161918" cy="1242914"/>
                    </a:xfrm>
                    <a:prstGeom prst="rect">
                      <a:avLst/>
                    </a:prstGeom>
                  </pic:spPr>
                </pic:pic>
              </a:graphicData>
            </a:graphic>
          </wp:inline>
        </w:drawing>
      </w:r>
    </w:p>
    <w:p w14:paraId="34A29897" w14:textId="77777777" w:rsidR="004F17B0" w:rsidRDefault="004F17B0" w:rsidP="00F81350">
      <w:pPr>
        <w:pStyle w:val="011Subsection"/>
      </w:pPr>
      <w:r>
        <w:lastRenderedPageBreak/>
        <w:t xml:space="preserve">Enter a </w:t>
      </w:r>
      <w:proofErr w:type="spellStart"/>
      <w:r>
        <w:t>Presputter</w:t>
      </w:r>
      <w:proofErr w:type="spellEnd"/>
      <w:r>
        <w:t xml:space="preserve"> time and click ‘Close’</w:t>
      </w:r>
    </w:p>
    <w:p w14:paraId="5CC4A282" w14:textId="77777777" w:rsidR="004F17B0" w:rsidRDefault="004F17B0" w:rsidP="00F81350">
      <w:pPr>
        <w:pStyle w:val="011Subsection"/>
      </w:pPr>
      <w:r>
        <w:t>Click on the ‘Spe’ button the start the survey scan</w:t>
      </w:r>
    </w:p>
    <w:p w14:paraId="7E9B4444" w14:textId="77777777" w:rsidR="004F17B0" w:rsidRDefault="004F17B0" w:rsidP="00F81350">
      <w:pPr>
        <w:pStyle w:val="011Subsection"/>
      </w:pPr>
      <w:r>
        <w:t xml:space="preserve">Now de-select the box for survey and select </w:t>
      </w:r>
      <w:proofErr w:type="gramStart"/>
      <w:r>
        <w:t>all of</w:t>
      </w:r>
      <w:proofErr w:type="gramEnd"/>
      <w:r>
        <w:t xml:space="preserve"> the other elements for the multiplex analysis</w:t>
      </w:r>
    </w:p>
    <w:p w14:paraId="2596EC40" w14:textId="77777777" w:rsidR="004F17B0" w:rsidRDefault="004F17B0" w:rsidP="00F81350">
      <w:pPr>
        <w:pStyle w:val="011Subsection"/>
      </w:pPr>
      <w:r>
        <w:t>Click on the ‘Spe’ button to start the multiplex scan</w:t>
      </w:r>
    </w:p>
    <w:p w14:paraId="29F21D5B" w14:textId="63A3A3CF" w:rsidR="004F17B0" w:rsidRDefault="004F17B0" w:rsidP="00F81350">
      <w:pPr>
        <w:pStyle w:val="011Subsection"/>
      </w:pPr>
      <w:r>
        <w:t xml:space="preserve">All data is immediately available in the PHI </w:t>
      </w:r>
      <w:proofErr w:type="spellStart"/>
      <w:r>
        <w:t>Multipak</w:t>
      </w:r>
      <w:proofErr w:type="spellEnd"/>
      <w:r>
        <w:t xml:space="preserve"> software for processing. See Appendix A for basic data analysis using </w:t>
      </w:r>
      <w:proofErr w:type="spellStart"/>
      <w:r>
        <w:t>Multipak</w:t>
      </w:r>
      <w:proofErr w:type="spellEnd"/>
      <w:r>
        <w:t>.</w:t>
      </w:r>
    </w:p>
    <w:p w14:paraId="0BCB8379" w14:textId="5F1D5C5D" w:rsidR="00F81350" w:rsidRDefault="00F81350" w:rsidP="00DF6AB7">
      <w:pPr>
        <w:pStyle w:val="01Subsection"/>
      </w:pPr>
      <w:bookmarkStart w:id="12" w:name="_Toc221025484"/>
      <w:r>
        <w:t>XPS Depth Profile</w:t>
      </w:r>
      <w:bookmarkEnd w:id="12"/>
    </w:p>
    <w:p w14:paraId="197F62EB" w14:textId="77777777" w:rsidR="00F81350" w:rsidRDefault="00F81350" w:rsidP="00F81350">
      <w:pPr>
        <w:pStyle w:val="011Subsection"/>
      </w:pPr>
      <w:r>
        <w:t>Go to the ‘XPS’ session tab and then the ‘Profile’ application tab.</w:t>
      </w:r>
    </w:p>
    <w:p w14:paraId="4702A06C" w14:textId="7AAD8752" w:rsidR="00F81350" w:rsidRDefault="00F81350" w:rsidP="00F81350">
      <w:pPr>
        <w:pStyle w:val="011Subsection"/>
      </w:pPr>
      <w:r>
        <w:t xml:space="preserve">Set up the regions and conditions the same way as in Section </w:t>
      </w:r>
      <w:r>
        <w:t>7.3</w:t>
      </w:r>
      <w:r>
        <w:t>.</w:t>
      </w:r>
    </w:p>
    <w:p w14:paraId="4AD11AE9" w14:textId="77777777" w:rsidR="00F81350" w:rsidRDefault="00F81350" w:rsidP="00F81350">
      <w:pPr>
        <w:pStyle w:val="011Subsection"/>
      </w:pPr>
      <w:r>
        <w:t>Click on ‘Sputter rate table’</w:t>
      </w:r>
    </w:p>
    <w:p w14:paraId="53024804" w14:textId="77777777" w:rsidR="00F81350" w:rsidRDefault="00F81350" w:rsidP="00FB1676">
      <w:pPr>
        <w:pStyle w:val="Default"/>
        <w:spacing w:after="240"/>
        <w:ind w:left="792"/>
        <w:jc w:val="center"/>
      </w:pPr>
      <w:r w:rsidRPr="00181D0E">
        <w:rPr>
          <w:noProof/>
        </w:rPr>
        <w:drawing>
          <wp:inline distT="0" distB="0" distL="0" distR="0" wp14:anchorId="05938A48" wp14:editId="36B278EC">
            <wp:extent cx="3924300" cy="2264648"/>
            <wp:effectExtent l="0" t="0" r="0" b="0"/>
            <wp:docPr id="10242" name="Picture 2" descr="A screenshot of the sputter ra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A screenshot of the sputter rate t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0373" cy="2268152"/>
                    </a:xfrm>
                    <a:prstGeom prst="rect">
                      <a:avLst/>
                    </a:prstGeom>
                    <a:noFill/>
                    <a:ln>
                      <a:noFill/>
                    </a:ln>
                  </pic:spPr>
                </pic:pic>
              </a:graphicData>
            </a:graphic>
          </wp:inline>
        </w:drawing>
      </w:r>
    </w:p>
    <w:p w14:paraId="1991A676" w14:textId="77777777" w:rsidR="00F81350" w:rsidRDefault="00F81350" w:rsidP="00F81350">
      <w:pPr>
        <w:pStyle w:val="011Subsection"/>
      </w:pPr>
      <w:r>
        <w:t>Select the ‘Sputter Setting’ from the drop-down menu. The selections and rates are the same as Section 6.</w:t>
      </w:r>
    </w:p>
    <w:p w14:paraId="03ABAAA7" w14:textId="77777777" w:rsidR="00F81350" w:rsidRDefault="00F81350" w:rsidP="00F81350">
      <w:pPr>
        <w:pStyle w:val="011Subsection"/>
      </w:pPr>
      <w:r>
        <w:t>Enter a time, interval and number of cycles and click on ‘Close’.</w:t>
      </w:r>
    </w:p>
    <w:p w14:paraId="6BBE7B78" w14:textId="77777777" w:rsidR="00F81350" w:rsidRDefault="00F81350" w:rsidP="00F81350">
      <w:pPr>
        <w:pStyle w:val="011Subsection"/>
      </w:pPr>
      <w:r>
        <w:t>Click on the ‘Profile’ button to begin the scan</w:t>
      </w:r>
    </w:p>
    <w:p w14:paraId="036D03EB" w14:textId="700E99DD" w:rsidR="00F81350" w:rsidRPr="00DF6AB7" w:rsidRDefault="00F81350" w:rsidP="00DF6AB7">
      <w:pPr>
        <w:pStyle w:val="01Subsection"/>
      </w:pPr>
      <w:bookmarkStart w:id="13" w:name="_Toc221025485"/>
      <w:r>
        <w:t>Unloading Sample</w:t>
      </w:r>
      <w:bookmarkEnd w:id="13"/>
    </w:p>
    <w:p w14:paraId="083BF38A" w14:textId="77777777" w:rsidR="00F81350" w:rsidRDefault="00F81350" w:rsidP="00F81350">
      <w:pPr>
        <w:pStyle w:val="011Subsection"/>
      </w:pPr>
      <w:r>
        <w:t>Go to the ‘System’ session tab and click on the ‘Sample transfer’ application tab.</w:t>
      </w:r>
    </w:p>
    <w:p w14:paraId="7EFAAC34" w14:textId="77777777" w:rsidR="00F81350" w:rsidRDefault="00F81350" w:rsidP="00F81350">
      <w:pPr>
        <w:pStyle w:val="011Subsection"/>
      </w:pPr>
      <w:r>
        <w:t>Click on the ‘Extract’ button.</w:t>
      </w:r>
    </w:p>
    <w:p w14:paraId="71AD3422" w14:textId="77777777" w:rsidR="00F81350" w:rsidRDefault="00F81350" w:rsidP="00F81350">
      <w:pPr>
        <w:pStyle w:val="011Subsection"/>
      </w:pPr>
      <w:r>
        <w:t xml:space="preserve">After the intro chamber is pumped down, the gate valve will </w:t>
      </w:r>
      <w:proofErr w:type="gramStart"/>
      <w:r>
        <w:t>open</w:t>
      </w:r>
      <w:proofErr w:type="gramEnd"/>
      <w:r>
        <w:t xml:space="preserve"> and a dialog box will appear asking to move the arm in.</w:t>
      </w:r>
    </w:p>
    <w:p w14:paraId="1CB5F643" w14:textId="77777777" w:rsidR="00F81350" w:rsidRPr="00446A90" w:rsidRDefault="00F81350" w:rsidP="00F81350">
      <w:pPr>
        <w:pStyle w:val="Default"/>
        <w:numPr>
          <w:ilvl w:val="0"/>
          <w:numId w:val="92"/>
        </w:numPr>
        <w:spacing w:after="240"/>
        <w:jc w:val="both"/>
        <w:rPr>
          <w:rFonts w:ascii="Lexend" w:hAnsi="Lexend"/>
        </w:rPr>
      </w:pPr>
      <w:r w:rsidRPr="00446A90">
        <w:rPr>
          <w:rFonts w:ascii="Lexend" w:hAnsi="Lexend"/>
        </w:rPr>
        <w:lastRenderedPageBreak/>
        <w:t>Slide the transfer arm all the way until it touches the stop collar and click OK</w:t>
      </w:r>
    </w:p>
    <w:p w14:paraId="0BB53033" w14:textId="77777777" w:rsidR="00F81350" w:rsidRPr="00446A90" w:rsidRDefault="00F81350" w:rsidP="00F81350">
      <w:pPr>
        <w:pStyle w:val="011Subsection"/>
      </w:pPr>
      <w:r w:rsidRPr="00446A90">
        <w:t>The stage will lower the holder on to the transfer arm and another dialog box will appear asking to move the arm out.</w:t>
      </w:r>
    </w:p>
    <w:p w14:paraId="4106CF6C" w14:textId="77777777" w:rsidR="00F81350" w:rsidRPr="00446A90" w:rsidRDefault="00F81350" w:rsidP="00F81350">
      <w:pPr>
        <w:pStyle w:val="Default"/>
        <w:numPr>
          <w:ilvl w:val="0"/>
          <w:numId w:val="92"/>
        </w:numPr>
        <w:spacing w:after="240"/>
        <w:jc w:val="both"/>
        <w:rPr>
          <w:rFonts w:ascii="Lexend" w:hAnsi="Lexend"/>
        </w:rPr>
      </w:pPr>
      <w:r w:rsidRPr="00446A90">
        <w:rPr>
          <w:rFonts w:ascii="Lexend" w:hAnsi="Lexend"/>
        </w:rPr>
        <w:t xml:space="preserve">Watching through the viewing port, slowly pull the intro rod back completely. V1 should close automatically when the rod is completely withdrawn. Click the OK button in the message dialog to center the stage. </w:t>
      </w:r>
    </w:p>
    <w:p w14:paraId="3D50333B" w14:textId="403873B3" w:rsidR="00F81350" w:rsidRPr="00446A90" w:rsidRDefault="00F81350" w:rsidP="00F81350">
      <w:pPr>
        <w:pStyle w:val="Default"/>
        <w:numPr>
          <w:ilvl w:val="0"/>
          <w:numId w:val="92"/>
        </w:numPr>
        <w:spacing w:after="240"/>
        <w:jc w:val="both"/>
        <w:rPr>
          <w:rFonts w:ascii="Lexend" w:hAnsi="Lexend"/>
        </w:rPr>
      </w:pPr>
      <w:r w:rsidRPr="00446A90">
        <w:rPr>
          <w:rFonts w:ascii="Lexend" w:hAnsi="Lexend"/>
        </w:rPr>
        <w:t>If you see that the sample starts to come off the arm, then push it all the way back in and try pulling out again.</w:t>
      </w:r>
    </w:p>
    <w:p w14:paraId="5C10FD70" w14:textId="398B02D8" w:rsidR="004F17B0" w:rsidRDefault="00F81350" w:rsidP="00F81350">
      <w:pPr>
        <w:pStyle w:val="011Subsection"/>
      </w:pPr>
      <w:r>
        <w:t>The intro chamber will automatically vent. When the lid pops up, use the metal tweezers and remove the holder.</w:t>
      </w:r>
    </w:p>
    <w:p w14:paraId="2CC43DF1" w14:textId="387ADA2F" w:rsidR="00252FE9" w:rsidRPr="00BF3FEF" w:rsidRDefault="004F3058" w:rsidP="00BF3FEF">
      <w:pPr>
        <w:pStyle w:val="Sectionheading"/>
      </w:pPr>
      <w:bookmarkStart w:id="14" w:name="_Toc221025486"/>
      <w:r>
        <w:t>Ending The Session</w:t>
      </w:r>
      <w:bookmarkEnd w:id="14"/>
    </w:p>
    <w:p w14:paraId="0AD3F910" w14:textId="77777777" w:rsidR="00F81350" w:rsidRDefault="00F81350" w:rsidP="00F81350">
      <w:pPr>
        <w:pStyle w:val="011Subsection"/>
      </w:pPr>
      <w:r>
        <w:t>While still in the ‘System’ session tab, click on the ‘Vacuum’ application tab.</w:t>
      </w:r>
    </w:p>
    <w:p w14:paraId="010699FB" w14:textId="77777777" w:rsidR="00F81350" w:rsidRDefault="00F81350" w:rsidP="00F81350">
      <w:pPr>
        <w:pStyle w:val="011Subsection"/>
      </w:pPr>
      <w:r>
        <w:t>Select ‘Pump intro’ from the ‘Task’ pull-down menu. Then click on ‘Process Task’. This will pump down the intro chamber (</w:t>
      </w:r>
      <w:proofErr w:type="spellStart"/>
      <w:r>
        <w:t>loadlock</w:t>
      </w:r>
      <w:proofErr w:type="spellEnd"/>
      <w:r>
        <w:t xml:space="preserve"> chamber).</w:t>
      </w:r>
    </w:p>
    <w:p w14:paraId="44FA0B47" w14:textId="5B77C291" w:rsidR="00DF6AB7" w:rsidRDefault="00DF6AB7" w:rsidP="00DF6AB7">
      <w:pPr>
        <w:pStyle w:val="011Subsection"/>
        <w:numPr>
          <w:ilvl w:val="0"/>
          <w:numId w:val="93"/>
        </w:numPr>
      </w:pPr>
      <w:r>
        <w:t>Or right-click on the intro chamber and select “Pump Into”</w:t>
      </w:r>
    </w:p>
    <w:p w14:paraId="754DEA60" w14:textId="77777777" w:rsidR="00F81350" w:rsidRDefault="00F81350" w:rsidP="00F81350">
      <w:pPr>
        <w:pStyle w:val="011Subsection"/>
      </w:pPr>
      <w:r>
        <w:t>Log out of the TUMI</w:t>
      </w:r>
      <w:bookmarkEnd w:id="4"/>
    </w:p>
    <w:sectPr w:rsidR="00F81350" w:rsidSect="00833AA0">
      <w:footerReference w:type="default" r:id="rId28"/>
      <w:pgSz w:w="12240" w:h="15840"/>
      <w:pgMar w:top="720" w:right="720" w:bottom="72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2C203" w14:textId="77777777" w:rsidR="009C63D6" w:rsidRDefault="009C63D6">
      <w:r>
        <w:separator/>
      </w:r>
    </w:p>
  </w:endnote>
  <w:endnote w:type="continuationSeparator" w:id="0">
    <w:p w14:paraId="36CA2907" w14:textId="77777777" w:rsidR="009C63D6" w:rsidRDefault="009C6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7414120"/>
      <w:docPartObj>
        <w:docPartGallery w:val="Page Numbers (Bottom of Page)"/>
        <w:docPartUnique/>
      </w:docPartObj>
    </w:sdtPr>
    <w:sdtEndPr>
      <w:rPr>
        <w:noProof/>
      </w:rPr>
    </w:sdtEndPr>
    <w:sdtContent>
      <w:p w14:paraId="25CB02DE" w14:textId="01960CC7" w:rsidR="00833AA0" w:rsidRDefault="00833A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710BB2" w14:textId="77777777" w:rsidR="00D13FCD" w:rsidRDefault="00D13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D5912" w14:textId="77777777" w:rsidR="009C63D6" w:rsidRDefault="009C63D6">
      <w:r>
        <w:separator/>
      </w:r>
    </w:p>
  </w:footnote>
  <w:footnote w:type="continuationSeparator" w:id="0">
    <w:p w14:paraId="401688E9" w14:textId="77777777" w:rsidR="009C63D6" w:rsidRDefault="009C63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ABD2B23"/>
    <w:multiLevelType w:val="multilevel"/>
    <w:tmpl w:val="70C2327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9A3930"/>
    <w:multiLevelType w:val="multilevel"/>
    <w:tmpl w:val="2AA8CCC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0D2107"/>
    <w:multiLevelType w:val="multilevel"/>
    <w:tmpl w:val="70C2327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39E4B8A"/>
    <w:multiLevelType w:val="multilevel"/>
    <w:tmpl w:val="BBDC8E56"/>
    <w:lvl w:ilvl="0">
      <w:start w:val="1"/>
      <w:numFmt w:val="decimal"/>
      <w:lvlText w:val="%1.0"/>
      <w:lvlJc w:val="left"/>
      <w:pPr>
        <w:ind w:left="540" w:hanging="540"/>
      </w:pPr>
      <w:rPr>
        <w:rFonts w:hint="default"/>
        <w:b/>
      </w:rPr>
    </w:lvl>
    <w:lvl w:ilvl="1">
      <w:start w:val="1"/>
      <w:numFmt w:val="decimal"/>
      <w:lvlText w:val="%1.%2"/>
      <w:lvlJc w:val="left"/>
      <w:pPr>
        <w:ind w:left="1260" w:hanging="540"/>
      </w:pPr>
      <w:rPr>
        <w:rFonts w:ascii="Arial" w:hAnsi="Arial" w:cs="Arial" w:hint="default"/>
        <w:b/>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9924CE"/>
    <w:multiLevelType w:val="hybridMultilevel"/>
    <w:tmpl w:val="06DCA376"/>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2"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197D0DCA"/>
    <w:multiLevelType w:val="multilevel"/>
    <w:tmpl w:val="70C2327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9" w15:restartNumberingAfterBreak="0">
    <w:nsid w:val="2513028C"/>
    <w:multiLevelType w:val="multilevel"/>
    <w:tmpl w:val="521EA500"/>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58C2A5D"/>
    <w:multiLevelType w:val="multilevel"/>
    <w:tmpl w:val="2AA8CCC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6217FB5"/>
    <w:multiLevelType w:val="hybridMultilevel"/>
    <w:tmpl w:val="0E181A8E"/>
    <w:lvl w:ilvl="0" w:tplc="04090019">
      <w:start w:val="1"/>
      <w:numFmt w:val="lowerLetter"/>
      <w:lvlText w:val="%1."/>
      <w:lvlJc w:val="left"/>
      <w:pPr>
        <w:ind w:left="2520" w:hanging="360"/>
      </w:pPr>
      <w:rPr>
        <w:rFonts w:hint="default"/>
        <w:color w:val="000000"/>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2"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2C9F11A0"/>
    <w:multiLevelType w:val="hybridMultilevel"/>
    <w:tmpl w:val="8604D11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E5108CD"/>
    <w:multiLevelType w:val="hybridMultilevel"/>
    <w:tmpl w:val="A69AFCE0"/>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9"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032A5C"/>
    <w:multiLevelType w:val="hybridMultilevel"/>
    <w:tmpl w:val="6DC8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3D353ED"/>
    <w:multiLevelType w:val="multilevel"/>
    <w:tmpl w:val="70C2327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CCF7EC0"/>
    <w:multiLevelType w:val="hybridMultilevel"/>
    <w:tmpl w:val="D116D5FA"/>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9" w15:restartNumberingAfterBreak="0">
    <w:nsid w:val="3D2733A8"/>
    <w:multiLevelType w:val="hybridMultilevel"/>
    <w:tmpl w:val="65FAB3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9DB176D"/>
    <w:multiLevelType w:val="hybridMultilevel"/>
    <w:tmpl w:val="CE92441E"/>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49"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0"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51" w15:restartNumberingAfterBreak="0">
    <w:nsid w:val="4BB23EE8"/>
    <w:multiLevelType w:val="hybridMultilevel"/>
    <w:tmpl w:val="0818E9B4"/>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2"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3"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54A3AC6"/>
    <w:multiLevelType w:val="hybridMultilevel"/>
    <w:tmpl w:val="0F0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746DDA"/>
    <w:multiLevelType w:val="hybridMultilevel"/>
    <w:tmpl w:val="1530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7E94DCA"/>
    <w:multiLevelType w:val="hybridMultilevel"/>
    <w:tmpl w:val="0CA2DEFA"/>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62"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A583CAA"/>
    <w:multiLevelType w:val="multilevel"/>
    <w:tmpl w:val="70C2327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C55644E"/>
    <w:multiLevelType w:val="hybridMultilevel"/>
    <w:tmpl w:val="AC8E60CC"/>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67"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5C9168FE"/>
    <w:multiLevelType w:val="hybridMultilevel"/>
    <w:tmpl w:val="35B60A44"/>
    <w:lvl w:ilvl="0" w:tplc="04090017">
      <w:start w:val="1"/>
      <w:numFmt w:val="lowerLetter"/>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5CB841B2"/>
    <w:multiLevelType w:val="hybridMultilevel"/>
    <w:tmpl w:val="3182A32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1"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13D2F31"/>
    <w:multiLevelType w:val="hybridMultilevel"/>
    <w:tmpl w:val="419C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D37BC7"/>
    <w:multiLevelType w:val="multilevel"/>
    <w:tmpl w:val="4412C04E"/>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3057169"/>
    <w:multiLevelType w:val="multilevel"/>
    <w:tmpl w:val="2AA8CCC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58147E5"/>
    <w:multiLevelType w:val="multilevel"/>
    <w:tmpl w:val="70C2327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0"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54C2A43"/>
    <w:multiLevelType w:val="multilevel"/>
    <w:tmpl w:val="F89E592A"/>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upperRoman"/>
      <w:lvlText w:val="%3."/>
      <w:lvlJc w:val="right"/>
      <w:pPr>
        <w:tabs>
          <w:tab w:val="num" w:pos="1440"/>
        </w:tabs>
        <w:ind w:left="1224" w:hanging="504"/>
      </w:pPr>
      <w:rPr>
        <w:rFonts w:hint="default"/>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A6D006E"/>
    <w:multiLevelType w:val="hybridMultilevel"/>
    <w:tmpl w:val="604A67BA"/>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88" w15:restartNumberingAfterBreak="0">
    <w:nsid w:val="7E26530C"/>
    <w:multiLevelType w:val="multilevel"/>
    <w:tmpl w:val="70C2327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79"/>
  </w:num>
  <w:num w:numId="2" w16cid:durableId="1013473">
    <w:abstractNumId w:val="49"/>
  </w:num>
  <w:num w:numId="3" w16cid:durableId="147479894">
    <w:abstractNumId w:val="52"/>
  </w:num>
  <w:num w:numId="4" w16cid:durableId="100956866">
    <w:abstractNumId w:val="83"/>
  </w:num>
  <w:num w:numId="5" w16cid:durableId="2020423143">
    <w:abstractNumId w:val="12"/>
  </w:num>
  <w:num w:numId="6" w16cid:durableId="371811042">
    <w:abstractNumId w:val="53"/>
  </w:num>
  <w:num w:numId="7" w16cid:durableId="573128677">
    <w:abstractNumId w:val="19"/>
  </w:num>
  <w:num w:numId="8" w16cid:durableId="2083288930">
    <w:abstractNumId w:val="17"/>
  </w:num>
  <w:num w:numId="9" w16cid:durableId="119999098">
    <w:abstractNumId w:val="44"/>
  </w:num>
  <w:num w:numId="10" w16cid:durableId="1300107890">
    <w:abstractNumId w:val="41"/>
  </w:num>
  <w:num w:numId="11" w16cid:durableId="2054115318">
    <w:abstractNumId w:val="3"/>
  </w:num>
  <w:num w:numId="12" w16cid:durableId="137378090">
    <w:abstractNumId w:val="67"/>
  </w:num>
  <w:num w:numId="13" w16cid:durableId="2109813978">
    <w:abstractNumId w:val="45"/>
  </w:num>
  <w:num w:numId="14" w16cid:durableId="1703945071">
    <w:abstractNumId w:val="29"/>
  </w:num>
  <w:num w:numId="15" w16cid:durableId="525170772">
    <w:abstractNumId w:val="4"/>
  </w:num>
  <w:num w:numId="16" w16cid:durableId="440339837">
    <w:abstractNumId w:val="73"/>
  </w:num>
  <w:num w:numId="17" w16cid:durableId="35662366">
    <w:abstractNumId w:val="46"/>
  </w:num>
  <w:num w:numId="18" w16cid:durableId="134183107">
    <w:abstractNumId w:val="81"/>
  </w:num>
  <w:num w:numId="19" w16cid:durableId="1342584718">
    <w:abstractNumId w:val="31"/>
  </w:num>
  <w:num w:numId="20" w16cid:durableId="43262908">
    <w:abstractNumId w:val="15"/>
  </w:num>
  <w:num w:numId="21" w16cid:durableId="679624253">
    <w:abstractNumId w:val="22"/>
  </w:num>
  <w:num w:numId="22" w16cid:durableId="1192887187">
    <w:abstractNumId w:val="90"/>
  </w:num>
  <w:num w:numId="23" w16cid:durableId="657535925">
    <w:abstractNumId w:val="85"/>
  </w:num>
  <w:num w:numId="24" w16cid:durableId="294918274">
    <w:abstractNumId w:val="86"/>
  </w:num>
  <w:num w:numId="25" w16cid:durableId="919674211">
    <w:abstractNumId w:val="14"/>
  </w:num>
  <w:num w:numId="26" w16cid:durableId="1223634484">
    <w:abstractNumId w:val="1"/>
  </w:num>
  <w:num w:numId="27" w16cid:durableId="1383754222">
    <w:abstractNumId w:val="37"/>
  </w:num>
  <w:num w:numId="28" w16cid:durableId="1196579219">
    <w:abstractNumId w:val="82"/>
  </w:num>
  <w:num w:numId="29" w16cid:durableId="1622572399">
    <w:abstractNumId w:val="65"/>
  </w:num>
  <w:num w:numId="30" w16cid:durableId="1812403805">
    <w:abstractNumId w:val="89"/>
  </w:num>
  <w:num w:numId="31" w16cid:durableId="1132987542">
    <w:abstractNumId w:val="54"/>
  </w:num>
  <w:num w:numId="32" w16cid:durableId="1471897215">
    <w:abstractNumId w:val="47"/>
  </w:num>
  <w:num w:numId="33" w16cid:durableId="988362829">
    <w:abstractNumId w:val="69"/>
  </w:num>
  <w:num w:numId="34" w16cid:durableId="1265114438">
    <w:abstractNumId w:val="55"/>
  </w:num>
  <w:num w:numId="35" w16cid:durableId="1719814777">
    <w:abstractNumId w:val="24"/>
  </w:num>
  <w:num w:numId="36" w16cid:durableId="1940022143">
    <w:abstractNumId w:val="62"/>
  </w:num>
  <w:num w:numId="37" w16cid:durableId="426387304">
    <w:abstractNumId w:val="7"/>
  </w:num>
  <w:num w:numId="38" w16cid:durableId="1190489545">
    <w:abstractNumId w:val="34"/>
  </w:num>
  <w:num w:numId="39" w16cid:durableId="1815440964">
    <w:abstractNumId w:val="57"/>
  </w:num>
  <w:num w:numId="40" w16cid:durableId="1227691986">
    <w:abstractNumId w:val="27"/>
  </w:num>
  <w:num w:numId="41" w16cid:durableId="1977711856">
    <w:abstractNumId w:val="35"/>
  </w:num>
  <w:num w:numId="42" w16cid:durableId="1463500533">
    <w:abstractNumId w:val="77"/>
  </w:num>
  <w:num w:numId="43" w16cid:durableId="347102591">
    <w:abstractNumId w:val="18"/>
  </w:num>
  <w:num w:numId="44" w16cid:durableId="2009627604">
    <w:abstractNumId w:val="43"/>
  </w:num>
  <w:num w:numId="45" w16cid:durableId="445658033">
    <w:abstractNumId w:val="56"/>
  </w:num>
  <w:num w:numId="46" w16cid:durableId="368801122">
    <w:abstractNumId w:val="16"/>
  </w:num>
  <w:num w:numId="47" w16cid:durableId="66420696">
    <w:abstractNumId w:val="64"/>
  </w:num>
  <w:num w:numId="48" w16cid:durableId="1989743213">
    <w:abstractNumId w:val="0"/>
  </w:num>
  <w:num w:numId="49" w16cid:durableId="1559827985">
    <w:abstractNumId w:val="25"/>
  </w:num>
  <w:num w:numId="50" w16cid:durableId="2058384088">
    <w:abstractNumId w:val="23"/>
  </w:num>
  <w:num w:numId="51" w16cid:durableId="20779753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71"/>
  </w:num>
  <w:num w:numId="54" w16cid:durableId="2070766508">
    <w:abstractNumId w:val="10"/>
  </w:num>
  <w:num w:numId="55" w16cid:durableId="1550069641">
    <w:abstractNumId w:val="80"/>
  </w:num>
  <w:num w:numId="56" w16cid:durableId="1696610455">
    <w:abstractNumId w:val="36"/>
  </w:num>
  <w:num w:numId="57" w16cid:durableId="763115328">
    <w:abstractNumId w:val="60"/>
  </w:num>
  <w:num w:numId="58" w16cid:durableId="1611930475">
    <w:abstractNumId w:val="2"/>
  </w:num>
  <w:num w:numId="59" w16cid:durableId="276177499">
    <w:abstractNumId w:val="40"/>
  </w:num>
  <w:num w:numId="60" w16cid:durableId="1170752200">
    <w:abstractNumId w:val="42"/>
  </w:num>
  <w:num w:numId="61" w16cid:durableId="986008926">
    <w:abstractNumId w:val="72"/>
  </w:num>
  <w:num w:numId="62" w16cid:durableId="1967538765">
    <w:abstractNumId w:val="33"/>
  </w:num>
  <w:num w:numId="63" w16cid:durableId="9521740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53636726">
    <w:abstractNumId w:val="58"/>
  </w:num>
  <w:num w:numId="65" w16cid:durableId="254287134">
    <w:abstractNumId w:val="39"/>
  </w:num>
  <w:num w:numId="66" w16cid:durableId="1067991987">
    <w:abstractNumId w:val="66"/>
  </w:num>
  <w:num w:numId="67" w16cid:durableId="1154027495">
    <w:abstractNumId w:val="51"/>
  </w:num>
  <w:num w:numId="68" w16cid:durableId="16512075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55526768">
    <w:abstractNumId w:val="87"/>
  </w:num>
  <w:num w:numId="70" w16cid:durableId="1292439565">
    <w:abstractNumId w:val="9"/>
  </w:num>
  <w:num w:numId="71" w16cid:durableId="1361321092">
    <w:abstractNumId w:val="28"/>
  </w:num>
  <w:num w:numId="72" w16cid:durableId="1418290777">
    <w:abstractNumId w:val="30"/>
  </w:num>
  <w:num w:numId="73" w16cid:durableId="489753795">
    <w:abstractNumId w:val="48"/>
  </w:num>
  <w:num w:numId="74" w16cid:durableId="927496174">
    <w:abstractNumId w:val="88"/>
  </w:num>
  <w:num w:numId="75" w16cid:durableId="1371300763">
    <w:abstractNumId w:val="5"/>
  </w:num>
  <w:num w:numId="76" w16cid:durableId="1608999092">
    <w:abstractNumId w:val="32"/>
  </w:num>
  <w:num w:numId="77" w16cid:durableId="689837349">
    <w:abstractNumId w:val="63"/>
  </w:num>
  <w:num w:numId="78" w16cid:durableId="1747460146">
    <w:abstractNumId w:val="78"/>
  </w:num>
  <w:num w:numId="79" w16cid:durableId="850684104">
    <w:abstractNumId w:val="13"/>
  </w:num>
  <w:num w:numId="80" w16cid:durableId="1718429708">
    <w:abstractNumId w:val="8"/>
  </w:num>
  <w:num w:numId="81" w16cid:durableId="1516962893">
    <w:abstractNumId w:val="75"/>
  </w:num>
  <w:num w:numId="82" w16cid:durableId="214122682">
    <w:abstractNumId w:val="59"/>
  </w:num>
  <w:num w:numId="83" w16cid:durableId="90198817">
    <w:abstractNumId w:val="84"/>
  </w:num>
  <w:num w:numId="84" w16cid:durableId="269165777">
    <w:abstractNumId w:val="26"/>
  </w:num>
  <w:num w:numId="85" w16cid:durableId="1693266572">
    <w:abstractNumId w:val="70"/>
  </w:num>
  <w:num w:numId="86" w16cid:durableId="1173377518">
    <w:abstractNumId w:val="68"/>
  </w:num>
  <w:num w:numId="87" w16cid:durableId="316612773">
    <w:abstractNumId w:val="21"/>
  </w:num>
  <w:num w:numId="88" w16cid:durableId="947547326">
    <w:abstractNumId w:val="6"/>
  </w:num>
  <w:num w:numId="89" w16cid:durableId="817654441">
    <w:abstractNumId w:val="20"/>
  </w:num>
  <w:num w:numId="90" w16cid:durableId="243150896">
    <w:abstractNumId w:val="76"/>
  </w:num>
  <w:num w:numId="91" w16cid:durableId="2122916561">
    <w:abstractNumId w:val="74"/>
  </w:num>
  <w:num w:numId="92" w16cid:durableId="1892305524">
    <w:abstractNumId w:val="11"/>
  </w:num>
  <w:num w:numId="93" w16cid:durableId="67969785">
    <w:abstractNumId w:val="61"/>
  </w:num>
  <w:num w:numId="94" w16cid:durableId="50332183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44E11"/>
    <w:rsid w:val="00052744"/>
    <w:rsid w:val="00052D4C"/>
    <w:rsid w:val="00056066"/>
    <w:rsid w:val="00061E1F"/>
    <w:rsid w:val="000650D4"/>
    <w:rsid w:val="00066040"/>
    <w:rsid w:val="00066E86"/>
    <w:rsid w:val="0007760B"/>
    <w:rsid w:val="000861DD"/>
    <w:rsid w:val="000B1268"/>
    <w:rsid w:val="000D5B8D"/>
    <w:rsid w:val="000E27F2"/>
    <w:rsid w:val="000E607B"/>
    <w:rsid w:val="000F023E"/>
    <w:rsid w:val="000F4D87"/>
    <w:rsid w:val="00105172"/>
    <w:rsid w:val="0011219D"/>
    <w:rsid w:val="0011569D"/>
    <w:rsid w:val="0012027E"/>
    <w:rsid w:val="00131758"/>
    <w:rsid w:val="00144395"/>
    <w:rsid w:val="001551D3"/>
    <w:rsid w:val="0015559A"/>
    <w:rsid w:val="00162970"/>
    <w:rsid w:val="00163B50"/>
    <w:rsid w:val="00186BF9"/>
    <w:rsid w:val="001C56E4"/>
    <w:rsid w:val="001E0A14"/>
    <w:rsid w:val="002042EF"/>
    <w:rsid w:val="0022232F"/>
    <w:rsid w:val="00231A81"/>
    <w:rsid w:val="00240C35"/>
    <w:rsid w:val="00252A56"/>
    <w:rsid w:val="00252FE9"/>
    <w:rsid w:val="00254419"/>
    <w:rsid w:val="00257BDF"/>
    <w:rsid w:val="002621CF"/>
    <w:rsid w:val="00283B49"/>
    <w:rsid w:val="00294799"/>
    <w:rsid w:val="0029578E"/>
    <w:rsid w:val="002A3D58"/>
    <w:rsid w:val="002B56B2"/>
    <w:rsid w:val="002C6AC1"/>
    <w:rsid w:val="002D3E84"/>
    <w:rsid w:val="002E0845"/>
    <w:rsid w:val="002F1431"/>
    <w:rsid w:val="002F22D5"/>
    <w:rsid w:val="002F439E"/>
    <w:rsid w:val="003049B7"/>
    <w:rsid w:val="00306475"/>
    <w:rsid w:val="00306CF8"/>
    <w:rsid w:val="003240A6"/>
    <w:rsid w:val="00326EAF"/>
    <w:rsid w:val="0033193A"/>
    <w:rsid w:val="00346840"/>
    <w:rsid w:val="00354E6C"/>
    <w:rsid w:val="00360E20"/>
    <w:rsid w:val="00361251"/>
    <w:rsid w:val="00370A9A"/>
    <w:rsid w:val="00371B07"/>
    <w:rsid w:val="00371F06"/>
    <w:rsid w:val="003730FA"/>
    <w:rsid w:val="00380CA2"/>
    <w:rsid w:val="00381AD7"/>
    <w:rsid w:val="00397E57"/>
    <w:rsid w:val="003A221B"/>
    <w:rsid w:val="003C2DB5"/>
    <w:rsid w:val="003D434B"/>
    <w:rsid w:val="003F155E"/>
    <w:rsid w:val="003F2329"/>
    <w:rsid w:val="00406400"/>
    <w:rsid w:val="00421725"/>
    <w:rsid w:val="00424C19"/>
    <w:rsid w:val="004371D9"/>
    <w:rsid w:val="004446D4"/>
    <w:rsid w:val="00446A90"/>
    <w:rsid w:val="00483534"/>
    <w:rsid w:val="004945D9"/>
    <w:rsid w:val="004A5AE8"/>
    <w:rsid w:val="004A5F05"/>
    <w:rsid w:val="004B10F7"/>
    <w:rsid w:val="004B7A2A"/>
    <w:rsid w:val="004C35D6"/>
    <w:rsid w:val="004C7489"/>
    <w:rsid w:val="004C74E2"/>
    <w:rsid w:val="004D079F"/>
    <w:rsid w:val="004E2A7A"/>
    <w:rsid w:val="004E6E94"/>
    <w:rsid w:val="004F17B0"/>
    <w:rsid w:val="004F19AF"/>
    <w:rsid w:val="004F3058"/>
    <w:rsid w:val="004F72A5"/>
    <w:rsid w:val="005052F3"/>
    <w:rsid w:val="00507013"/>
    <w:rsid w:val="005112F6"/>
    <w:rsid w:val="005138C2"/>
    <w:rsid w:val="00526D8E"/>
    <w:rsid w:val="005316CB"/>
    <w:rsid w:val="00532F96"/>
    <w:rsid w:val="00541B9E"/>
    <w:rsid w:val="00544A44"/>
    <w:rsid w:val="00557A87"/>
    <w:rsid w:val="00581799"/>
    <w:rsid w:val="00585827"/>
    <w:rsid w:val="005931BB"/>
    <w:rsid w:val="005974CB"/>
    <w:rsid w:val="005A2A29"/>
    <w:rsid w:val="005C6FE6"/>
    <w:rsid w:val="005D6714"/>
    <w:rsid w:val="005E3865"/>
    <w:rsid w:val="005E559F"/>
    <w:rsid w:val="005E7DBE"/>
    <w:rsid w:val="005F307A"/>
    <w:rsid w:val="005F4826"/>
    <w:rsid w:val="006037B8"/>
    <w:rsid w:val="006061D8"/>
    <w:rsid w:val="006069FE"/>
    <w:rsid w:val="00607F17"/>
    <w:rsid w:val="006126D7"/>
    <w:rsid w:val="0061432F"/>
    <w:rsid w:val="00634502"/>
    <w:rsid w:val="00641C93"/>
    <w:rsid w:val="006564ED"/>
    <w:rsid w:val="00673014"/>
    <w:rsid w:val="00685240"/>
    <w:rsid w:val="00687283"/>
    <w:rsid w:val="006872AC"/>
    <w:rsid w:val="006A0932"/>
    <w:rsid w:val="006A2F96"/>
    <w:rsid w:val="006B3CF5"/>
    <w:rsid w:val="006B5E10"/>
    <w:rsid w:val="006C2677"/>
    <w:rsid w:val="006C45BB"/>
    <w:rsid w:val="006C52BB"/>
    <w:rsid w:val="006C744B"/>
    <w:rsid w:val="006D48D0"/>
    <w:rsid w:val="006F0F35"/>
    <w:rsid w:val="00701818"/>
    <w:rsid w:val="00710D59"/>
    <w:rsid w:val="00711BDC"/>
    <w:rsid w:val="0072382C"/>
    <w:rsid w:val="00736620"/>
    <w:rsid w:val="00742523"/>
    <w:rsid w:val="007529DD"/>
    <w:rsid w:val="0076252C"/>
    <w:rsid w:val="007638D8"/>
    <w:rsid w:val="00765B21"/>
    <w:rsid w:val="00776824"/>
    <w:rsid w:val="007852FC"/>
    <w:rsid w:val="007B0098"/>
    <w:rsid w:val="007B0E8A"/>
    <w:rsid w:val="007B39CA"/>
    <w:rsid w:val="007B62B0"/>
    <w:rsid w:val="007D5B64"/>
    <w:rsid w:val="007F1F53"/>
    <w:rsid w:val="007F68CE"/>
    <w:rsid w:val="008017F1"/>
    <w:rsid w:val="0080454C"/>
    <w:rsid w:val="00810C5B"/>
    <w:rsid w:val="008153F1"/>
    <w:rsid w:val="00823356"/>
    <w:rsid w:val="008265B4"/>
    <w:rsid w:val="00831CBC"/>
    <w:rsid w:val="00833AA0"/>
    <w:rsid w:val="00852886"/>
    <w:rsid w:val="0085482D"/>
    <w:rsid w:val="00856DE6"/>
    <w:rsid w:val="00857FA4"/>
    <w:rsid w:val="008601BE"/>
    <w:rsid w:val="0086098C"/>
    <w:rsid w:val="00862678"/>
    <w:rsid w:val="008665C9"/>
    <w:rsid w:val="00867004"/>
    <w:rsid w:val="008755F5"/>
    <w:rsid w:val="008A064F"/>
    <w:rsid w:val="008A1CDA"/>
    <w:rsid w:val="008A26C4"/>
    <w:rsid w:val="008B18A5"/>
    <w:rsid w:val="008C4844"/>
    <w:rsid w:val="008D299A"/>
    <w:rsid w:val="008D4C15"/>
    <w:rsid w:val="008E10E4"/>
    <w:rsid w:val="008E583B"/>
    <w:rsid w:val="009024DB"/>
    <w:rsid w:val="0090731C"/>
    <w:rsid w:val="009168C1"/>
    <w:rsid w:val="0093333A"/>
    <w:rsid w:val="009348C0"/>
    <w:rsid w:val="00934ABA"/>
    <w:rsid w:val="0093507E"/>
    <w:rsid w:val="00935EC7"/>
    <w:rsid w:val="009509D7"/>
    <w:rsid w:val="00951C11"/>
    <w:rsid w:val="009579A2"/>
    <w:rsid w:val="0096043D"/>
    <w:rsid w:val="009633F3"/>
    <w:rsid w:val="00970499"/>
    <w:rsid w:val="00976B0D"/>
    <w:rsid w:val="009778D1"/>
    <w:rsid w:val="00996F7A"/>
    <w:rsid w:val="009B0FFD"/>
    <w:rsid w:val="009C5AC1"/>
    <w:rsid w:val="009C63D6"/>
    <w:rsid w:val="009E361A"/>
    <w:rsid w:val="009E3B6A"/>
    <w:rsid w:val="009E4F0F"/>
    <w:rsid w:val="009F213F"/>
    <w:rsid w:val="00A01305"/>
    <w:rsid w:val="00A05946"/>
    <w:rsid w:val="00A23072"/>
    <w:rsid w:val="00A37716"/>
    <w:rsid w:val="00A37820"/>
    <w:rsid w:val="00A45D6D"/>
    <w:rsid w:val="00A47253"/>
    <w:rsid w:val="00A5335D"/>
    <w:rsid w:val="00A55926"/>
    <w:rsid w:val="00A71DF0"/>
    <w:rsid w:val="00A74ECF"/>
    <w:rsid w:val="00A9724D"/>
    <w:rsid w:val="00A9760A"/>
    <w:rsid w:val="00AA3F2F"/>
    <w:rsid w:val="00AB4D0E"/>
    <w:rsid w:val="00AC073E"/>
    <w:rsid w:val="00AC5352"/>
    <w:rsid w:val="00AD0207"/>
    <w:rsid w:val="00AD08C5"/>
    <w:rsid w:val="00AD6BC2"/>
    <w:rsid w:val="00AF1992"/>
    <w:rsid w:val="00B01566"/>
    <w:rsid w:val="00B05906"/>
    <w:rsid w:val="00B06569"/>
    <w:rsid w:val="00B135D4"/>
    <w:rsid w:val="00B14C8F"/>
    <w:rsid w:val="00B2088F"/>
    <w:rsid w:val="00B2401E"/>
    <w:rsid w:val="00B263FA"/>
    <w:rsid w:val="00B57654"/>
    <w:rsid w:val="00B71385"/>
    <w:rsid w:val="00B935BE"/>
    <w:rsid w:val="00BA1B70"/>
    <w:rsid w:val="00BA3585"/>
    <w:rsid w:val="00BA387D"/>
    <w:rsid w:val="00BB16CE"/>
    <w:rsid w:val="00BC201A"/>
    <w:rsid w:val="00BC2361"/>
    <w:rsid w:val="00BC2862"/>
    <w:rsid w:val="00BC5FFC"/>
    <w:rsid w:val="00BD13DD"/>
    <w:rsid w:val="00BD27DE"/>
    <w:rsid w:val="00BD5A73"/>
    <w:rsid w:val="00BD7553"/>
    <w:rsid w:val="00BF36E5"/>
    <w:rsid w:val="00BF3FEF"/>
    <w:rsid w:val="00BF495E"/>
    <w:rsid w:val="00BF4A15"/>
    <w:rsid w:val="00C0616C"/>
    <w:rsid w:val="00C071D1"/>
    <w:rsid w:val="00C14C34"/>
    <w:rsid w:val="00C173F1"/>
    <w:rsid w:val="00C2057C"/>
    <w:rsid w:val="00C24EFF"/>
    <w:rsid w:val="00C26A77"/>
    <w:rsid w:val="00C30FC3"/>
    <w:rsid w:val="00C35830"/>
    <w:rsid w:val="00C45D2C"/>
    <w:rsid w:val="00C46D45"/>
    <w:rsid w:val="00C46D4B"/>
    <w:rsid w:val="00C86F89"/>
    <w:rsid w:val="00C96E14"/>
    <w:rsid w:val="00C97886"/>
    <w:rsid w:val="00CA09DF"/>
    <w:rsid w:val="00CA62C1"/>
    <w:rsid w:val="00CA666A"/>
    <w:rsid w:val="00CB311F"/>
    <w:rsid w:val="00CC09B8"/>
    <w:rsid w:val="00CC0DC8"/>
    <w:rsid w:val="00CC6333"/>
    <w:rsid w:val="00CC7879"/>
    <w:rsid w:val="00CC7D59"/>
    <w:rsid w:val="00CD116D"/>
    <w:rsid w:val="00CD2D11"/>
    <w:rsid w:val="00CD57EA"/>
    <w:rsid w:val="00CE18C7"/>
    <w:rsid w:val="00CE4508"/>
    <w:rsid w:val="00CE7C3F"/>
    <w:rsid w:val="00D038DE"/>
    <w:rsid w:val="00D13FCD"/>
    <w:rsid w:val="00D22FE7"/>
    <w:rsid w:val="00D34AA2"/>
    <w:rsid w:val="00D452CE"/>
    <w:rsid w:val="00D47502"/>
    <w:rsid w:val="00D65391"/>
    <w:rsid w:val="00D7035E"/>
    <w:rsid w:val="00D71F94"/>
    <w:rsid w:val="00D85AEC"/>
    <w:rsid w:val="00D85DA2"/>
    <w:rsid w:val="00D908D9"/>
    <w:rsid w:val="00D9160A"/>
    <w:rsid w:val="00DA6478"/>
    <w:rsid w:val="00DB24C6"/>
    <w:rsid w:val="00DB41E9"/>
    <w:rsid w:val="00DC1659"/>
    <w:rsid w:val="00DC4063"/>
    <w:rsid w:val="00DD0F55"/>
    <w:rsid w:val="00DD1782"/>
    <w:rsid w:val="00DD6C7A"/>
    <w:rsid w:val="00DE43FB"/>
    <w:rsid w:val="00DF2AE8"/>
    <w:rsid w:val="00DF4093"/>
    <w:rsid w:val="00DF4218"/>
    <w:rsid w:val="00DF66EE"/>
    <w:rsid w:val="00DF6AB7"/>
    <w:rsid w:val="00DF7561"/>
    <w:rsid w:val="00E00EBE"/>
    <w:rsid w:val="00E20549"/>
    <w:rsid w:val="00E24C38"/>
    <w:rsid w:val="00E2745E"/>
    <w:rsid w:val="00E3346C"/>
    <w:rsid w:val="00E35189"/>
    <w:rsid w:val="00E471D2"/>
    <w:rsid w:val="00E64476"/>
    <w:rsid w:val="00E669F7"/>
    <w:rsid w:val="00E70CBF"/>
    <w:rsid w:val="00E77C07"/>
    <w:rsid w:val="00E82225"/>
    <w:rsid w:val="00E87045"/>
    <w:rsid w:val="00E90E95"/>
    <w:rsid w:val="00E96157"/>
    <w:rsid w:val="00EA4552"/>
    <w:rsid w:val="00EB006A"/>
    <w:rsid w:val="00EB075E"/>
    <w:rsid w:val="00EB2B8D"/>
    <w:rsid w:val="00EB559D"/>
    <w:rsid w:val="00EC0255"/>
    <w:rsid w:val="00ED587C"/>
    <w:rsid w:val="00ED5BBC"/>
    <w:rsid w:val="00EE4D6E"/>
    <w:rsid w:val="00EF0AF3"/>
    <w:rsid w:val="00F026B9"/>
    <w:rsid w:val="00F14C1A"/>
    <w:rsid w:val="00F21000"/>
    <w:rsid w:val="00F314D2"/>
    <w:rsid w:val="00F3192A"/>
    <w:rsid w:val="00F36EF9"/>
    <w:rsid w:val="00F54907"/>
    <w:rsid w:val="00F64BBC"/>
    <w:rsid w:val="00F81350"/>
    <w:rsid w:val="00F9134B"/>
    <w:rsid w:val="00F94FFB"/>
    <w:rsid w:val="00F96E3F"/>
    <w:rsid w:val="00FA2D93"/>
    <w:rsid w:val="00FA5183"/>
    <w:rsid w:val="00FB1676"/>
    <w:rsid w:val="00FB6D71"/>
    <w:rsid w:val="00FC7895"/>
    <w:rsid w:val="00FF5885"/>
    <w:rsid w:val="00FF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D13F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869225981">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47090747">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1631</Words>
  <Characters>9303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10913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9</cp:revision>
  <cp:lastPrinted>2021-03-17T18:50:00Z</cp:lastPrinted>
  <dcterms:created xsi:type="dcterms:W3CDTF">2026-02-03T18:38:00Z</dcterms:created>
  <dcterms:modified xsi:type="dcterms:W3CDTF">2026-02-03T20:37:00Z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